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7E83" w:rsidRDefault="00411511" w:rsidP="001B7EEC">
      <w:pPr>
        <w:pStyle w:val="Heading1"/>
        <w:tabs>
          <w:tab w:val="right" w:pos="8914"/>
        </w:tabs>
        <w:ind w:left="2160"/>
      </w:pPr>
      <w:r w:rsidRPr="00411511">
        <w:rPr>
          <w:b/>
          <w:noProof/>
          <w:sz w:val="56"/>
        </w:rPr>
        <w:pict>
          <v:shapetype id="_x0000_t202" coordsize="21600,21600" o:spt="202" path="m0,0l0,21600,21600,21600,21600,0xe">
            <v:stroke joinstyle="miter"/>
            <v:path gradientshapeok="t" o:connecttype="rect"/>
          </v:shapetype>
          <v:shape id="_x0000_s2057" type="#_x0000_t202" style="position:absolute;left:0;text-align:left;margin-left:-85.95pt;margin-top:135.2pt;width:626.95pt;height:2in;z-index:251657728;mso-wrap-edited:f;mso-position-horizontal:absolute;mso-position-vertical:absolute;mso-position-vertical-relative:page" wrapcoords="-26 0 -26 21400 21600 21400 21600 0 -26 0" o:allowoverlap="f" fillcolor="#582350" stroked="f">
            <v:fill opacity="46531f" o:detectmouseclick="t"/>
            <v:textbox style="mso-next-textbox:#_x0000_s2057" inset="0,0,0,0">
              <w:txbxContent>
                <w:p w:rsidR="00932B1C" w:rsidRPr="00007040" w:rsidRDefault="00932B1C" w:rsidP="00564E7E">
                  <w:pPr>
                    <w:suppressAutoHyphens/>
                    <w:rPr>
                      <w:rFonts w:ascii="Arial" w:hAnsi="Arial"/>
                      <w:color w:val="464847"/>
                      <w:sz w:val="56"/>
                    </w:rPr>
                  </w:pPr>
                </w:p>
                <w:p w:rsidR="00932B1C" w:rsidRPr="00195B2D" w:rsidRDefault="00D14FA2" w:rsidP="00D14FA2">
                  <w:pPr>
                    <w:tabs>
                      <w:tab w:val="left" w:pos="11520"/>
                    </w:tabs>
                    <w:suppressAutoHyphens/>
                    <w:spacing w:before="480" w:line="640" w:lineRule="exact"/>
                    <w:ind w:left="2430" w:right="729"/>
                    <w:rPr>
                      <w:rFonts w:ascii="Arial" w:hAnsi="Arial"/>
                      <w:b/>
                      <w:color w:val="FFFFFF"/>
                      <w:sz w:val="56"/>
                    </w:rPr>
                  </w:pPr>
                  <w:r>
                    <w:rPr>
                      <w:rFonts w:ascii="Arial" w:hAnsi="Arial"/>
                      <w:b/>
                      <w:color w:val="FFFFFF"/>
                      <w:sz w:val="56"/>
                    </w:rPr>
                    <w:t>Implementation and Enforcement Clauses for NPLAN Ordinances</w:t>
                  </w:r>
                </w:p>
                <w:p w:rsidR="00932B1C" w:rsidRPr="00007040" w:rsidRDefault="00932B1C" w:rsidP="00564E7E">
                  <w:pPr>
                    <w:rPr>
                      <w:rFonts w:ascii="Arial" w:hAnsi="Arial"/>
                      <w:color w:val="464847"/>
                      <w:sz w:val="56"/>
                    </w:rPr>
                  </w:pPr>
                </w:p>
              </w:txbxContent>
            </v:textbox>
            <w10:wrap type="tight" anchory="page"/>
          </v:shape>
        </w:pict>
      </w:r>
      <w:r w:rsidR="00564E7E" w:rsidRPr="0064506A">
        <w:softHyphen/>
      </w:r>
    </w:p>
    <w:p w:rsidR="009B7E83" w:rsidRDefault="009B7E83" w:rsidP="009B7E83"/>
    <w:p w:rsidR="00564E7E" w:rsidRPr="009B7E83" w:rsidRDefault="00564E7E" w:rsidP="009B7E83"/>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D14FA2" w:rsidRDefault="00D14FA2" w:rsidP="00564E7E">
      <w:pPr>
        <w:pStyle w:val="nPlancovertext"/>
        <w:tabs>
          <w:tab w:val="left" w:pos="630"/>
          <w:tab w:val="left" w:pos="8640"/>
        </w:tabs>
        <w:ind w:left="630"/>
        <w:rPr>
          <w:rFonts w:cs="Lucida Grande"/>
          <w:color w:val="000000"/>
          <w:szCs w:val="22"/>
        </w:rPr>
      </w:pPr>
    </w:p>
    <w:p w:rsidR="009B7E83" w:rsidRDefault="009B7E83"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pStyle w:val="disclamerbox"/>
        <w:framePr w:wrap="around" w:hAnchor="page" w:x="1887" w:y="1239"/>
        <w:ind w:left="630"/>
        <w:rPr>
          <w:rFonts w:ascii="Arial" w:hAnsi="Arial" w:cs="Arial"/>
          <w:i w:val="0"/>
          <w:sz w:val="20"/>
        </w:rPr>
      </w:pPr>
      <w:r w:rsidRPr="00B355C4">
        <w:t>This document provides the same language as</w:t>
      </w:r>
      <w:r>
        <w:rPr>
          <w:rFonts w:cs="Calibri"/>
          <w:szCs w:val="30"/>
        </w:rPr>
        <w:t xml:space="preserve"> </w:t>
      </w:r>
      <w:r>
        <w:rPr>
          <w:rFonts w:cs="Calibri"/>
          <w:szCs w:val="30"/>
        </w:rPr>
        <w:tab/>
      </w:r>
      <w:r>
        <w:rPr>
          <w:rFonts w:cs="Calibri"/>
          <w:szCs w:val="30"/>
        </w:rPr>
        <w:tab/>
        <w:t xml:space="preserve">  </w:t>
      </w:r>
      <w:r>
        <w:rPr>
          <w:rFonts w:cs="Calibri"/>
          <w:szCs w:val="30"/>
        </w:rPr>
        <w:tab/>
      </w:r>
      <w:r>
        <w:rPr>
          <w:rFonts w:cs="Calibri"/>
          <w:szCs w:val="30"/>
        </w:rPr>
        <w:tab/>
        <w:t xml:space="preserve"> </w:t>
      </w:r>
      <w:r>
        <w:rPr>
          <w:rFonts w:cs="Calibri"/>
          <w:szCs w:val="30"/>
        </w:rPr>
        <w:tab/>
      </w:r>
      <w:r>
        <w:rPr>
          <w:rFonts w:cs="Calibri"/>
          <w:szCs w:val="30"/>
        </w:rPr>
        <w:tab/>
      </w:r>
      <w:r>
        <w:rPr>
          <w:rFonts w:cs="Calibri"/>
          <w:szCs w:val="30"/>
        </w:rPr>
        <w:tab/>
      </w:r>
      <w:r>
        <w:rPr>
          <w:rFonts w:cs="Calibri"/>
          <w:szCs w:val="30"/>
        </w:rPr>
        <w:tab/>
      </w:r>
      <w:r>
        <w:rPr>
          <w:rFonts w:cs="Calibri"/>
          <w:szCs w:val="30"/>
        </w:rPr>
        <w:tab/>
      </w:r>
      <w:r>
        <w:rPr>
          <w:rFonts w:cs="Calibri"/>
          <w:szCs w:val="30"/>
        </w:rPr>
        <w:tab/>
      </w:r>
      <w:r>
        <w:rPr>
          <w:rFonts w:cs="Calibri"/>
          <w:szCs w:val="30"/>
        </w:rPr>
        <w:tab/>
      </w:r>
      <w:r>
        <w:rPr>
          <w:rFonts w:cs="Calibri"/>
          <w:szCs w:val="30"/>
        </w:rPr>
        <w:tab/>
        <w:t xml:space="preserve"> “Appendix B: Implementation and Enforcement Clauses for NPLAN Ordinances.”</w:t>
      </w:r>
      <w:r w:rsidRPr="004838B4">
        <w:rPr>
          <w:rFonts w:ascii="Arial" w:hAnsi="Arial" w:cs="Arial"/>
          <w:i w:val="0"/>
          <w:sz w:val="20"/>
        </w:rPr>
        <w:t xml:space="preserve"> </w:t>
      </w: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9B7E83" w:rsidRDefault="009B7E83">
      <w:pPr>
        <w:spacing w:line="240" w:lineRule="auto"/>
        <w:rPr>
          <w:rFonts w:ascii="Times" w:hAnsi="Times" w:cs="Arial"/>
          <w:i/>
          <w:iCs/>
          <w:sz w:val="18"/>
          <w:szCs w:val="16"/>
          <w:lang w:bidi="en-US"/>
        </w:rPr>
      </w:pPr>
      <w:r>
        <w:rPr>
          <w:rFonts w:cs="Arial"/>
        </w:rPr>
        <w:br w:type="page"/>
      </w:r>
    </w:p>
    <w:p w:rsidR="009B7E83" w:rsidRDefault="009B7E83" w:rsidP="009B7E83">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9B7E83" w:rsidRDefault="009B7E83" w:rsidP="009B7E83">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Support for this document was provided by a grant from the Robert Wood Johnson Foundatio</w:t>
      </w:r>
      <w:r>
        <w:rPr>
          <w:rFonts w:ascii="Times New Roman" w:hAnsi="Times New Roman"/>
        </w:rPr>
        <w:t>n.</w:t>
      </w:r>
    </w:p>
    <w:p w:rsidR="009B7E83" w:rsidRPr="0064506A" w:rsidRDefault="009B7E83" w:rsidP="009B7E83">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D14FA2" w:rsidRDefault="00D14FA2">
      <w:pPr>
        <w:spacing w:line="240" w:lineRule="auto"/>
        <w:rPr>
          <w:rFonts w:ascii="Times" w:hAnsi="Times" w:cs="Arial"/>
          <w:i/>
          <w:iCs/>
          <w:sz w:val="18"/>
          <w:lang w:bidi="en-US"/>
        </w:rPr>
      </w:pPr>
    </w:p>
    <w:p w:rsidR="00D14FA2" w:rsidRPr="00A20DE9" w:rsidRDefault="00D14FA2" w:rsidP="00D14FA2">
      <w:pPr>
        <w:pStyle w:val="disclamerbox"/>
        <w:framePr w:hSpace="0" w:vSpace="0" w:wrap="auto" w:vAnchor="margin" w:hAnchor="text" w:yAlign="inline"/>
        <w:rPr>
          <w:rFonts w:cs="Arial"/>
          <w:szCs w:val="24"/>
        </w:rPr>
      </w:pPr>
      <w:r w:rsidRPr="00A20DE9">
        <w:rPr>
          <w:rFonts w:cs="Arial"/>
          <w:szCs w:val="24"/>
        </w:rPr>
        <w:t xml:space="preserve">These clauses </w:t>
      </w:r>
      <w:r>
        <w:rPr>
          <w:rFonts w:cs="Arial"/>
          <w:szCs w:val="24"/>
        </w:rPr>
        <w:t>contain sample language that can be adopted for use in NPLAN model ordinances.</w:t>
      </w:r>
      <w:r w:rsidRPr="00A20DE9">
        <w:rPr>
          <w:rFonts w:cs="Arial"/>
          <w:szCs w:val="24"/>
        </w:rPr>
        <w:t xml:space="preserve"> Before </w:t>
      </w:r>
      <w:r>
        <w:rPr>
          <w:rFonts w:cs="Arial"/>
          <w:szCs w:val="24"/>
        </w:rPr>
        <w:t xml:space="preserve">adopting these clauses in an ordinance, it is essential to </w:t>
      </w:r>
      <w:r w:rsidRPr="00A20DE9">
        <w:rPr>
          <w:rFonts w:cs="Arial"/>
          <w:szCs w:val="24"/>
        </w:rPr>
        <w:t xml:space="preserve">research state and local law to determine whether </w:t>
      </w:r>
      <w:r>
        <w:rPr>
          <w:rFonts w:cs="Arial"/>
          <w:szCs w:val="24"/>
        </w:rPr>
        <w:t xml:space="preserve">and how </w:t>
      </w:r>
      <w:r w:rsidRPr="00A20DE9">
        <w:rPr>
          <w:rFonts w:cs="Arial"/>
          <w:szCs w:val="24"/>
        </w:rPr>
        <w:t>the</w:t>
      </w:r>
      <w:r>
        <w:rPr>
          <w:rFonts w:cs="Arial"/>
          <w:szCs w:val="24"/>
        </w:rPr>
        <w:t>se sample clauses may be used in your ordinance.</w:t>
      </w:r>
    </w:p>
    <w:p w:rsidR="00D14FA2" w:rsidRPr="00D338E6" w:rsidRDefault="00D14FA2" w:rsidP="00D14FA2">
      <w:pPr>
        <w:pStyle w:val="Heading2"/>
        <w:rPr>
          <w:rFonts w:cs="Arial"/>
        </w:rPr>
      </w:pPr>
    </w:p>
    <w:p w:rsidR="00D14FA2" w:rsidRPr="00D338E6" w:rsidRDefault="00D14FA2" w:rsidP="00D14FA2">
      <w:pPr>
        <w:pStyle w:val="Heading2"/>
        <w:rPr>
          <w:rFonts w:cs="Arial"/>
        </w:rPr>
      </w:pPr>
      <w:r w:rsidRPr="00D338E6">
        <w:rPr>
          <w:rFonts w:cs="Arial"/>
        </w:rPr>
        <w:t>Implementation</w:t>
      </w:r>
    </w:p>
    <w:p w:rsidR="00D14FA2" w:rsidRDefault="00D14FA2" w:rsidP="00D14FA2">
      <w:pPr>
        <w:ind w:left="720"/>
      </w:pPr>
    </w:p>
    <w:p w:rsidR="00D14FA2" w:rsidRPr="004A690C" w:rsidRDefault="00D14FA2" w:rsidP="00D14FA2">
      <w:pPr>
        <w:ind w:left="720" w:hanging="360"/>
      </w:pPr>
      <w:r>
        <w:t xml:space="preserve">(a) </w:t>
      </w:r>
      <w:r w:rsidRPr="004A690C">
        <w:t>The ___________________ [</w:t>
      </w:r>
      <w:r w:rsidRPr="00D14FA2">
        <w:rPr>
          <w:i/>
        </w:rPr>
        <w:t>agency, department or official</w:t>
      </w:r>
      <w:r w:rsidRPr="004A690C">
        <w:t>] shall implement, administer, and enfo</w:t>
      </w:r>
      <w:r>
        <w:t>rce this chapter. The ________</w:t>
      </w:r>
      <w:r w:rsidRPr="004A690C">
        <w:t xml:space="preserve"> is hereby authorized to issue all rules and regulations consistent with this chapter and shall have all necessary powers to carry out the purpose of this chapter. The ________ shall have all necessary powers to enforce this chapter.</w:t>
      </w:r>
      <w:r>
        <w:br/>
      </w:r>
    </w:p>
    <w:p w:rsidR="00D14FA2" w:rsidRPr="004A690C" w:rsidRDefault="00D14FA2" w:rsidP="00D14FA2">
      <w:pPr>
        <w:ind w:left="720" w:hanging="360"/>
      </w:pPr>
      <w:r>
        <w:t xml:space="preserve">(b) </w:t>
      </w:r>
      <w:r w:rsidRPr="004A690C">
        <w:t>The following classes of employees are authorized to issue citations for violation of this chapter: [enumerate classes of employees].</w:t>
      </w:r>
    </w:p>
    <w:p w:rsidR="00D14FA2" w:rsidRDefault="00D14FA2" w:rsidP="00D14FA2">
      <w:pPr>
        <w:rPr>
          <w:rFonts w:ascii="Arial" w:hAnsi="Arial" w:cs="Arial"/>
          <w:b/>
        </w:rPr>
      </w:pPr>
    </w:p>
    <w:p w:rsidR="00D14FA2" w:rsidRDefault="00D14FA2" w:rsidP="00D14FA2">
      <w:pPr>
        <w:pStyle w:val="Heading2"/>
        <w:rPr>
          <w:rFonts w:cs="Arial"/>
        </w:rPr>
      </w:pPr>
    </w:p>
    <w:p w:rsidR="00D14FA2" w:rsidRDefault="00D14FA2" w:rsidP="00D14FA2">
      <w:pPr>
        <w:pStyle w:val="Heading2"/>
        <w:rPr>
          <w:rFonts w:cs="Arial"/>
        </w:rPr>
      </w:pPr>
      <w:r>
        <w:rPr>
          <w:rFonts w:cs="Arial"/>
        </w:rPr>
        <w:t xml:space="preserve">Civil Enforcement by </w:t>
      </w:r>
      <w:r w:rsidRPr="00D338E6">
        <w:rPr>
          <w:rFonts w:cs="Arial"/>
        </w:rPr>
        <w:t>Injunctive Relief</w:t>
      </w:r>
    </w:p>
    <w:p w:rsidR="00D14FA2" w:rsidRDefault="00D14FA2" w:rsidP="00D14FA2">
      <w:pPr>
        <w:ind w:left="720"/>
      </w:pPr>
    </w:p>
    <w:p w:rsidR="00D14FA2" w:rsidRDefault="00D14FA2" w:rsidP="00D14FA2">
      <w:pPr>
        <w:tabs>
          <w:tab w:val="left" w:pos="720"/>
        </w:tabs>
        <w:ind w:left="720"/>
      </w:pPr>
      <w:r>
        <w:t>The _______________ [</w:t>
      </w:r>
      <w:r w:rsidRPr="00D14FA2">
        <w:rPr>
          <w:i/>
        </w:rPr>
        <w:t>city attorney or county counsel</w:t>
      </w:r>
      <w:r>
        <w:t>] is hereby authorized to bring an action for injunctive relief to enjoin a violation of this ordinance.</w:t>
      </w:r>
    </w:p>
    <w:p w:rsidR="00D14FA2" w:rsidRDefault="00D14FA2" w:rsidP="00D14FA2">
      <w:pPr>
        <w:ind w:left="360"/>
        <w:rPr>
          <w:sz w:val="22"/>
          <w:szCs w:val="22"/>
        </w:rPr>
      </w:pPr>
    </w:p>
    <w:p w:rsidR="00D14FA2" w:rsidRPr="00D338E6" w:rsidRDefault="00D14FA2" w:rsidP="00D14FA2">
      <w:pPr>
        <w:pStyle w:val="Heading2"/>
        <w:rPr>
          <w:rFonts w:cs="Arial"/>
        </w:rPr>
      </w:pPr>
    </w:p>
    <w:p w:rsidR="00D14FA2" w:rsidRPr="007A1A10" w:rsidRDefault="00D14FA2" w:rsidP="00D14FA2">
      <w:pPr>
        <w:pStyle w:val="Heading2"/>
        <w:rPr>
          <w:rFonts w:cs="Arial"/>
        </w:rPr>
      </w:pPr>
      <w:r w:rsidRPr="00D338E6">
        <w:rPr>
          <w:rFonts w:cs="Arial"/>
        </w:rPr>
        <w:t xml:space="preserve">Civil </w:t>
      </w:r>
      <w:r>
        <w:rPr>
          <w:rFonts w:cs="Arial"/>
        </w:rPr>
        <w:t xml:space="preserve">Enforcement by Civil </w:t>
      </w:r>
      <w:r w:rsidRPr="00D338E6">
        <w:rPr>
          <w:rFonts w:cs="Arial"/>
        </w:rPr>
        <w:t>Penalties</w:t>
      </w:r>
      <w:r>
        <w:rPr>
          <w:rFonts w:cs="Arial"/>
        </w:rPr>
        <w:br/>
      </w:r>
      <w:r>
        <w:rPr>
          <w:rFonts w:cs="Arial"/>
        </w:rPr>
        <w:tab/>
      </w:r>
    </w:p>
    <w:p w:rsidR="00D14FA2" w:rsidRDefault="00D14FA2" w:rsidP="00D14FA2">
      <w:pPr>
        <w:ind w:left="720" w:hanging="360"/>
      </w:pPr>
      <w:r>
        <w:t xml:space="preserve">(a) </w:t>
      </w:r>
      <w:r w:rsidRPr="007A1A10">
        <w:t xml:space="preserve">Any person who violates this </w:t>
      </w:r>
      <w:r>
        <w:t>chapter [</w:t>
      </w:r>
      <w:r w:rsidRPr="00D14FA2">
        <w:rPr>
          <w:i/>
        </w:rPr>
        <w:t>or specific subsection</w:t>
      </w:r>
      <w:r>
        <w:t>]</w:t>
      </w:r>
      <w:r w:rsidRPr="007A1A10">
        <w:t xml:space="preserve"> may be liable for a civil penalty, not to exceed $</w:t>
      </w:r>
      <w:r>
        <w:t>______</w:t>
      </w:r>
      <w:r w:rsidRPr="007A1A10">
        <w:t xml:space="preserve"> per </w:t>
      </w:r>
      <w:r>
        <w:t>_________</w:t>
      </w:r>
      <w:r w:rsidRPr="007A1A10">
        <w:t xml:space="preserve"> for each day such violation is committed or permitt</w:t>
      </w:r>
      <w:r>
        <w:t>ed to continue.</w:t>
      </w:r>
      <w:r w:rsidRPr="007A1A10">
        <w:t xml:space="preserve"> </w:t>
      </w:r>
      <w:r>
        <w:br/>
      </w:r>
    </w:p>
    <w:p w:rsidR="00D14FA2" w:rsidRDefault="00D14FA2" w:rsidP="00D14FA2">
      <w:pPr>
        <w:ind w:left="720" w:hanging="360"/>
      </w:pPr>
      <w:r>
        <w:t xml:space="preserve">(b) </w:t>
      </w:r>
      <w:r w:rsidRPr="007A1A10">
        <w:t xml:space="preserve">The </w:t>
      </w:r>
      <w:r>
        <w:t>______________ [</w:t>
      </w:r>
      <w:r w:rsidRPr="00D14FA2">
        <w:rPr>
          <w:i/>
        </w:rPr>
        <w:t>city attorney or county counsel</w:t>
      </w:r>
      <w:r>
        <w:t xml:space="preserve">] </w:t>
      </w:r>
      <w:r w:rsidRPr="007A1A10">
        <w:t xml:space="preserve">may bring a civil action to recover civil penalties for the violations </w:t>
      </w:r>
      <w:r>
        <w:t xml:space="preserve">of this chapter. </w:t>
      </w:r>
      <w:r>
        <w:br/>
      </w:r>
    </w:p>
    <w:p w:rsidR="00D14FA2" w:rsidRDefault="00D14FA2" w:rsidP="00D14FA2">
      <w:pPr>
        <w:ind w:left="720" w:hanging="360"/>
      </w:pPr>
      <w:r>
        <w:t xml:space="preserve">(c) </w:t>
      </w:r>
      <w:r w:rsidRPr="0077591D">
        <w:rPr>
          <w:b/>
        </w:rPr>
        <w:t>De</w:t>
      </w:r>
      <w:r>
        <w:rPr>
          <w:b/>
        </w:rPr>
        <w:t>posit of Penalties</w:t>
      </w:r>
      <w:r>
        <w:t>. All monies received by the city/county in payment of civil penalties for violation of this chapter shall be deposited in __________________ Fund and used exclusively to ___________________.</w:t>
      </w:r>
    </w:p>
    <w:p w:rsidR="00D14FA2" w:rsidRDefault="00D14FA2" w:rsidP="00D14FA2">
      <w:pPr>
        <w:ind w:left="720" w:hanging="360"/>
        <w:jc w:val="both"/>
      </w:pPr>
    </w:p>
    <w:p w:rsidR="00D14FA2" w:rsidRPr="007A1A10" w:rsidRDefault="00D14FA2" w:rsidP="00D14FA2">
      <w:pPr>
        <w:ind w:left="720" w:hanging="360"/>
      </w:pPr>
      <w:r>
        <w:t>(d)</w:t>
      </w:r>
      <w:r w:rsidRPr="0077591D">
        <w:rPr>
          <w:b/>
        </w:rPr>
        <w:t xml:space="preserve"> Attorneys’ Fees</w:t>
      </w:r>
      <w:r>
        <w:t xml:space="preserve">. </w:t>
      </w:r>
      <w:r w:rsidRPr="007A1A10">
        <w:t xml:space="preserve">The </w:t>
      </w:r>
      <w:r>
        <w:t>_________ [</w:t>
      </w:r>
      <w:r w:rsidRPr="00D14FA2">
        <w:rPr>
          <w:i/>
        </w:rPr>
        <w:t>city attorney or county counsel</w:t>
      </w:r>
      <w:r>
        <w:t>]</w:t>
      </w:r>
      <w:r w:rsidRPr="007A1A10">
        <w:t xml:space="preserve"> also may seek recovery of the attorney's fees and costs incurred in bringing a</w:t>
      </w:r>
      <w:r>
        <w:t xml:space="preserve"> civil action pursuant to this s</w:t>
      </w:r>
      <w:r w:rsidRPr="007A1A10">
        <w:t>ection.</w:t>
      </w:r>
    </w:p>
    <w:p w:rsidR="00D14FA2" w:rsidRDefault="00D14FA2" w:rsidP="00D14FA2">
      <w:pPr>
        <w:ind w:left="720"/>
        <w:jc w:val="both"/>
      </w:pPr>
    </w:p>
    <w:p w:rsidR="00D14FA2" w:rsidRDefault="00D14FA2" w:rsidP="00D14FA2">
      <w:pPr>
        <w:pStyle w:val="Heading2"/>
        <w:rPr>
          <w:rFonts w:cs="Arial"/>
        </w:rPr>
      </w:pPr>
    </w:p>
    <w:p w:rsidR="00D14FA2" w:rsidRDefault="00D14FA2" w:rsidP="00D14FA2">
      <w:pPr>
        <w:pStyle w:val="Heading2"/>
        <w:rPr>
          <w:rFonts w:cs="Arial"/>
        </w:rPr>
      </w:pPr>
      <w:r>
        <w:rPr>
          <w:rFonts w:cs="Arial"/>
        </w:rPr>
        <w:t>Administrative Enforcement and Penalties</w:t>
      </w:r>
    </w:p>
    <w:p w:rsidR="00D14FA2" w:rsidRDefault="00D14FA2" w:rsidP="00D14FA2">
      <w:pPr>
        <w:rPr>
          <w:rFonts w:ascii="Arial" w:hAnsi="Arial" w:cs="Arial"/>
        </w:rPr>
      </w:pPr>
    </w:p>
    <w:p w:rsidR="00D14FA2" w:rsidRPr="0070489E" w:rsidRDefault="00D14FA2" w:rsidP="00D14FA2">
      <w:pPr>
        <w:ind w:left="720" w:hanging="360"/>
      </w:pPr>
      <w:r>
        <w:t xml:space="preserve">(a) </w:t>
      </w:r>
      <w:r w:rsidRPr="0070489E">
        <w:t xml:space="preserve">Any person who violates any of the provisions of section ____________ shall be subject to an administrative penalty not to exceed_______ for each violation. Administrative penalties authorized by this section shall be assessed, enforced and collected in accordance with </w:t>
      </w:r>
      <w:r>
        <w:t>s</w:t>
      </w:r>
      <w:r w:rsidRPr="0070489E">
        <w:t>ection ________. This [</w:t>
      </w:r>
      <w:r w:rsidRPr="00D14FA2">
        <w:rPr>
          <w:i/>
        </w:rPr>
        <w:t>municipal</w:t>
      </w:r>
      <w:r w:rsidRPr="0070489E">
        <w:t xml:space="preserve">] Code. </w:t>
      </w:r>
      <w:r w:rsidRPr="0070489E">
        <w:br/>
      </w:r>
    </w:p>
    <w:p w:rsidR="00D14FA2" w:rsidRPr="0070489E" w:rsidRDefault="00D14FA2" w:rsidP="00D14FA2">
      <w:pPr>
        <w:ind w:left="720" w:hanging="360"/>
      </w:pPr>
      <w:r>
        <w:t xml:space="preserve">(b) </w:t>
      </w:r>
      <w:r w:rsidRPr="0070489E">
        <w:t xml:space="preserve">Where an officer or employee designated in section ___________ determines that there has been a violation of any of the provisions of </w:t>
      </w:r>
      <w:r>
        <w:t>s</w:t>
      </w:r>
      <w:r w:rsidRPr="0070489E">
        <w:t xml:space="preserve">ection ____________, the officer or employee may issue an administrative citation to the person and/or entity responsible for the violation. For purposes of this </w:t>
      </w:r>
      <w:r>
        <w:t>s</w:t>
      </w:r>
      <w:r w:rsidRPr="0070489E">
        <w:t>ection, an entity is responsible if an officer, employee or agent of the entity commits the violation. The citation shall inform the person or entity responsible of the date, time, place and nature of the violation and the amount of the proposed penalty, and shall state that the penalty is due and payable to the [Treasurer] within ______ business days from the date of the notice, if not contested within the time period specified. The citation shall also state that the person or entity responsible has the right, pursuant to section _______ to request administrative review of the citing officer or employee's determination as to the violation and assessment of penalties, and shall set forth the procedure for requesting administrative review</w:t>
      </w:r>
      <w:r>
        <w:t>.</w:t>
      </w:r>
    </w:p>
    <w:p w:rsidR="00D14FA2" w:rsidRPr="0070489E" w:rsidRDefault="00D14FA2" w:rsidP="00D14FA2">
      <w:pPr>
        <w:ind w:left="720"/>
      </w:pPr>
    </w:p>
    <w:p w:rsidR="00D14FA2" w:rsidRPr="00D338E6" w:rsidRDefault="00D14FA2" w:rsidP="00D14FA2">
      <w:pPr>
        <w:pStyle w:val="Heading2"/>
        <w:rPr>
          <w:rFonts w:cs="Arial"/>
        </w:rPr>
      </w:pPr>
      <w:bookmarkStart w:id="0" w:name="0-0-0-4247"/>
      <w:bookmarkEnd w:id="0"/>
    </w:p>
    <w:p w:rsidR="00D14FA2" w:rsidRDefault="00D14FA2" w:rsidP="00D14FA2">
      <w:pPr>
        <w:pStyle w:val="Heading2"/>
        <w:rPr>
          <w:rFonts w:cs="Arial"/>
          <w:sz w:val="22"/>
          <w:szCs w:val="22"/>
        </w:rPr>
      </w:pPr>
      <w:r w:rsidRPr="00D338E6">
        <w:rPr>
          <w:rFonts w:cs="Arial"/>
        </w:rPr>
        <w:t>Criminal Enforcement</w:t>
      </w:r>
      <w:r>
        <w:rPr>
          <w:rFonts w:cs="Arial"/>
        </w:rPr>
        <w:br/>
      </w:r>
    </w:p>
    <w:p w:rsidR="00D14FA2" w:rsidRPr="0077591D" w:rsidRDefault="00D14FA2" w:rsidP="00D14FA2">
      <w:pPr>
        <w:pStyle w:val="Heading3"/>
        <w:ind w:left="720"/>
        <w:rPr>
          <w:rFonts w:cs="Arial"/>
        </w:rPr>
      </w:pPr>
      <w:r>
        <w:rPr>
          <w:rFonts w:cs="Arial"/>
        </w:rPr>
        <w:t>Violation Constituting a Misdemeanor</w:t>
      </w:r>
      <w:r w:rsidRPr="0077591D">
        <w:rPr>
          <w:rFonts w:cs="Arial"/>
        </w:rPr>
        <w:t>:</w:t>
      </w:r>
    </w:p>
    <w:p w:rsidR="00D14FA2" w:rsidRPr="001B137A" w:rsidRDefault="00D14FA2" w:rsidP="00D14FA2">
      <w:pPr>
        <w:ind w:left="720"/>
      </w:pPr>
      <w:r w:rsidRPr="001B137A">
        <w:t xml:space="preserve">Any person who violates this chapter is guilty of a misdemeanor, punishable by a fine of not more than _________ or by imprisonment in the city/county jail for a period of not more than _________, or by </w:t>
      </w:r>
      <w:r>
        <w:t>both such fines or imprisonment</w:t>
      </w:r>
      <w:r w:rsidRPr="001B137A">
        <w:t>.</w:t>
      </w:r>
    </w:p>
    <w:p w:rsidR="00D14FA2" w:rsidRDefault="00D14FA2" w:rsidP="00D14FA2">
      <w:pPr>
        <w:ind w:left="720"/>
      </w:pPr>
      <w:r w:rsidRPr="001B137A">
        <w:rPr>
          <w:rFonts w:ascii="Arial" w:hAnsi="Arial" w:cs="Arial"/>
        </w:rPr>
        <w:br/>
      </w:r>
      <w:r w:rsidRPr="008253EC">
        <w:rPr>
          <w:rFonts w:ascii="Times New Roman Bold" w:hAnsi="Times New Roman Bold"/>
          <w:szCs w:val="26"/>
        </w:rPr>
        <w:t>Violation Constituting an Infraction</w:t>
      </w:r>
      <w:r w:rsidRPr="001B137A">
        <w:rPr>
          <w:rFonts w:ascii="Arial" w:hAnsi="Arial" w:cs="Arial"/>
          <w:b/>
        </w:rPr>
        <w:br/>
      </w:r>
      <w:r w:rsidRPr="001B137A">
        <w:t>Any person who violates this chapter is guilty of an infraction, punishable by a f</w:t>
      </w:r>
      <w:r>
        <w:t>ine of not more than _________ .</w:t>
      </w:r>
    </w:p>
    <w:p w:rsidR="00D14FA2" w:rsidRDefault="00D14FA2" w:rsidP="00D14FA2">
      <w:pPr>
        <w:ind w:left="720"/>
      </w:pPr>
    </w:p>
    <w:p w:rsidR="00D14FA2" w:rsidRDefault="00D14FA2" w:rsidP="00D14FA2">
      <w:pPr>
        <w:pStyle w:val="Heading2"/>
        <w:rPr>
          <w:rFonts w:cs="Arial"/>
        </w:rPr>
      </w:pPr>
    </w:p>
    <w:p w:rsidR="00D14FA2" w:rsidRPr="00216623" w:rsidRDefault="00D14FA2" w:rsidP="00D14FA2">
      <w:pPr>
        <w:pStyle w:val="Heading2"/>
        <w:rPr>
          <w:rFonts w:cs="Arial"/>
        </w:rPr>
      </w:pPr>
      <w:r>
        <w:rPr>
          <w:rFonts w:cs="Arial"/>
        </w:rPr>
        <w:t>Citizen Enforcement</w:t>
      </w:r>
    </w:p>
    <w:p w:rsidR="00D14FA2" w:rsidRDefault="00D14FA2" w:rsidP="00D14FA2">
      <w:pPr>
        <w:ind w:left="720"/>
      </w:pPr>
      <w:r>
        <w:rPr>
          <w:rFonts w:ascii="Arial" w:hAnsi="Arial" w:cs="Arial"/>
          <w:b/>
        </w:rPr>
        <w:br/>
      </w:r>
      <w:r>
        <w:t>Any aggrieved person is hereby authorized to bring a civil action for damages or for injunctive relief to enjoin a violation of this ordinance.</w:t>
      </w:r>
    </w:p>
    <w:p w:rsidR="00947FB7" w:rsidRDefault="00947FB7">
      <w:pPr>
        <w:spacing w:line="240" w:lineRule="auto"/>
        <w:rPr>
          <w:rFonts w:ascii="Arial" w:hAnsi="Arial"/>
          <w:b/>
          <w:sz w:val="20"/>
        </w:rPr>
      </w:pPr>
    </w:p>
    <w:p w:rsidR="00564E7E" w:rsidRPr="00DB1C14" w:rsidRDefault="00564E7E" w:rsidP="00DB1C14">
      <w:pPr>
        <w:spacing w:line="240" w:lineRule="auto"/>
        <w:rPr>
          <w:rFonts w:ascii="Arial" w:hAnsi="Arial"/>
          <w:b/>
          <w:sz w:val="20"/>
        </w:rPr>
      </w:pPr>
    </w:p>
    <w:sectPr w:rsidR="00564E7E" w:rsidRPr="00DB1C14" w:rsidSect="00947FB7">
      <w:headerReference w:type="default" r:id="rId7"/>
      <w:footerReference w:type="default" r:id="rId8"/>
      <w:headerReference w:type="first" r:id="rId9"/>
      <w:footerReference w:type="first" r:id="rId10"/>
      <w:endnotePr>
        <w:numFmt w:val="decimal"/>
      </w:endnotePr>
      <w:type w:val="continuous"/>
      <w:pgSz w:w="12240" w:h="15840" w:code="1"/>
      <w:pgMar w:top="1339" w:right="1260" w:bottom="1170" w:left="1800" w:header="360" w:footer="605" w:gutter="0"/>
      <w:titlePg/>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32B1C" w:rsidRDefault="00932B1C">
      <w:r>
        <w:separator/>
      </w:r>
    </w:p>
  </w:endnote>
  <w:endnote w:type="continuationSeparator" w:id="1">
    <w:p w:rsidR="00932B1C" w:rsidRDefault="00932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D14FA2">
    <w:pPr>
      <w:pStyle w:val="Center"/>
      <w:widowControl/>
      <w:tabs>
        <w:tab w:val="clear" w:pos="1800"/>
        <w:tab w:val="left" w:pos="1890"/>
      </w:tabs>
      <w:jc w:val="left"/>
      <w:outlineLvl w:val="0"/>
      <w:rPr>
        <w:i/>
        <w:color w:val="767878"/>
        <w:sz w:val="20"/>
      </w:rPr>
    </w:pPr>
    <w:r w:rsidRPr="00D14FA2">
      <w:rPr>
        <w:i/>
        <w:color w:val="767878"/>
        <w:sz w:val="20"/>
      </w:rPr>
      <w:t>Implementation and Enforcement Clauses for NPLAN Ordinances</w:t>
    </w:r>
    <w:r w:rsidR="00932B1C">
      <w:rPr>
        <w:i/>
        <w:color w:val="767878"/>
        <w:sz w:val="20"/>
      </w:rPr>
      <w:tab/>
    </w:r>
    <w:r w:rsidR="00932B1C">
      <w:rPr>
        <w:i/>
        <w:color w:val="767878"/>
        <w:sz w:val="20"/>
      </w:rPr>
      <w:tab/>
    </w:r>
    <w:r w:rsidR="00932B1C">
      <w:rPr>
        <w:i/>
        <w:color w:val="767878"/>
        <w:sz w:val="20"/>
      </w:rPr>
      <w:tab/>
    </w:r>
    <w:r>
      <w:rPr>
        <w:i/>
        <w:color w:val="767878"/>
        <w:sz w:val="20"/>
      </w:rPr>
      <w:t xml:space="preserve">  </w:t>
    </w:r>
    <w:r w:rsidR="00932B1C" w:rsidRPr="00F87E98">
      <w:rPr>
        <w:rFonts w:ascii="Arial" w:hAnsi="Arial"/>
        <w:color w:val="767878"/>
        <w:spacing w:val="-2"/>
        <w:sz w:val="19"/>
      </w:rPr>
      <w:t>changelabsolutions.org</w:t>
    </w:r>
    <w:r>
      <w:rPr>
        <w:i/>
        <w:color w:val="767878"/>
        <w:sz w:val="20"/>
      </w:rPr>
      <w:tab/>
      <w:t xml:space="preserve"> </w:t>
    </w:r>
    <w:r w:rsidR="00932B1C">
      <w:rPr>
        <w:i/>
        <w:color w:val="767878"/>
        <w:sz w:val="20"/>
      </w:rPr>
      <w:t xml:space="preserve">           </w:t>
    </w:r>
    <w:r w:rsidR="00411511">
      <w:rPr>
        <w:rStyle w:val="PageNumber"/>
        <w:i/>
      </w:rPr>
      <w:fldChar w:fldCharType="begin"/>
    </w:r>
    <w:r w:rsidR="00932B1C">
      <w:rPr>
        <w:rStyle w:val="PageNumber"/>
        <w:i/>
      </w:rPr>
      <w:instrText xml:space="preserve"> PAGE </w:instrText>
    </w:r>
    <w:r w:rsidR="00411511">
      <w:rPr>
        <w:rStyle w:val="PageNumber"/>
        <w:i/>
      </w:rPr>
      <w:fldChar w:fldCharType="separate"/>
    </w:r>
    <w:r w:rsidR="00DB7284">
      <w:rPr>
        <w:rStyle w:val="PageNumber"/>
        <w:i/>
        <w:noProof/>
      </w:rPr>
      <w:t>2</w:t>
    </w:r>
    <w:r w:rsidR="00411511">
      <w:rPr>
        <w:rStyle w:val="PageNumber"/>
        <w:i/>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Pr="00933868" w:rsidRDefault="00932B1C"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932B1C" w:rsidRDefault="00932B1C">
    <w:pPr>
      <w:jc w:val="both"/>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32B1C" w:rsidRDefault="00932B1C">
      <w:r>
        <w:separator/>
      </w:r>
    </w:p>
  </w:footnote>
  <w:footnote w:type="continuationSeparator" w:id="1">
    <w:p w:rsidR="00932B1C" w:rsidRDefault="00932B1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932B1C">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2B1C" w:rsidRDefault="00932B1C">
    <w:pPr>
      <w:tabs>
        <w:tab w:val="left" w:pos="1552"/>
      </w:tabs>
      <w:ind w:left="-1800"/>
    </w:pPr>
    <w:r>
      <w:tab/>
    </w:r>
  </w:p>
  <w:p w:rsidR="00932B1C" w:rsidRDefault="00932B1C">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ma="http://schemas.microsoft.com/office/mac/drawingml/2008/main" xmln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pic:blipFill>
                      <a:blip r:embed="rId2"/>
                      <a:srcRect/>
                      <a:stretch>
                        <a:fillRect/>
                      </a:stretch>
                    </pic:blipFill>
                  </ve:Fallback>
                </ve:AlternateContent>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C72FDCA"/>
    <w:lvl w:ilvl="0">
      <w:start w:val="1"/>
      <w:numFmt w:val="lowerLetter"/>
      <w:pStyle w:val="bullets-abc"/>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7"/>
    <w:multiLevelType w:val="multilevel"/>
    <w:tmpl w:val="AD065296"/>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nsid w:val="0F4B61E3"/>
    <w:multiLevelType w:val="multilevel"/>
    <w:tmpl w:val="4B9895DC"/>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108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b w:val="0"/>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nsid w:val="18065D31"/>
    <w:multiLevelType w:val="hybridMultilevel"/>
    <w:tmpl w:val="15BAECF2"/>
    <w:lvl w:ilvl="0" w:tplc="D96A3F0E">
      <w:start w:val="1"/>
      <w:numFmt w:val="lowerLetter"/>
      <w:lvlText w:val="(%1)"/>
      <w:lvlJc w:val="left"/>
      <w:pPr>
        <w:ind w:left="720" w:hanging="360"/>
      </w:pPr>
      <w:rPr>
        <w:rFonts w:hint="default"/>
        <w:b w:val="0"/>
        <w:i w:val="0"/>
      </w:rPr>
    </w:lvl>
    <w:lvl w:ilvl="1" w:tplc="7E6C79C2">
      <w:start w:val="1"/>
      <w:numFmt w:val="lowerLetter"/>
      <w:lvlText w:val="%2."/>
      <w:lvlJc w:val="left"/>
      <w:pPr>
        <w:ind w:left="1260" w:hanging="360"/>
      </w:pPr>
    </w:lvl>
    <w:lvl w:ilvl="2" w:tplc="90EAFC88" w:tentative="1">
      <w:start w:val="1"/>
      <w:numFmt w:val="lowerRoman"/>
      <w:lvlText w:val="%3."/>
      <w:lvlJc w:val="right"/>
      <w:pPr>
        <w:ind w:left="1980" w:hanging="180"/>
      </w:pPr>
    </w:lvl>
    <w:lvl w:ilvl="3" w:tplc="8E1428E8" w:tentative="1">
      <w:start w:val="1"/>
      <w:numFmt w:val="decimal"/>
      <w:lvlText w:val="%4."/>
      <w:lvlJc w:val="left"/>
      <w:pPr>
        <w:ind w:left="2700" w:hanging="360"/>
      </w:pPr>
    </w:lvl>
    <w:lvl w:ilvl="4" w:tplc="923EF71A" w:tentative="1">
      <w:start w:val="1"/>
      <w:numFmt w:val="lowerLetter"/>
      <w:lvlText w:val="%5."/>
      <w:lvlJc w:val="left"/>
      <w:pPr>
        <w:ind w:left="3420" w:hanging="360"/>
      </w:pPr>
    </w:lvl>
    <w:lvl w:ilvl="5" w:tplc="4BB25DCC" w:tentative="1">
      <w:start w:val="1"/>
      <w:numFmt w:val="lowerRoman"/>
      <w:lvlText w:val="%6."/>
      <w:lvlJc w:val="right"/>
      <w:pPr>
        <w:ind w:left="4140" w:hanging="180"/>
      </w:pPr>
    </w:lvl>
    <w:lvl w:ilvl="6" w:tplc="D1764E34" w:tentative="1">
      <w:start w:val="1"/>
      <w:numFmt w:val="decimal"/>
      <w:lvlText w:val="%7."/>
      <w:lvlJc w:val="left"/>
      <w:pPr>
        <w:ind w:left="4860" w:hanging="360"/>
      </w:pPr>
    </w:lvl>
    <w:lvl w:ilvl="7" w:tplc="98C8BB8C" w:tentative="1">
      <w:start w:val="1"/>
      <w:numFmt w:val="lowerLetter"/>
      <w:lvlText w:val="%8."/>
      <w:lvlJc w:val="left"/>
      <w:pPr>
        <w:ind w:left="5580" w:hanging="360"/>
      </w:pPr>
    </w:lvl>
    <w:lvl w:ilvl="8" w:tplc="91063040" w:tentative="1">
      <w:start w:val="1"/>
      <w:numFmt w:val="lowerRoman"/>
      <w:lvlText w:val="%9."/>
      <w:lvlJc w:val="right"/>
      <w:pPr>
        <w:ind w:left="6300" w:hanging="180"/>
      </w:pPr>
    </w:lvl>
  </w:abstractNum>
  <w:abstractNum w:abstractNumId="9">
    <w:nsid w:val="1FBA62E3"/>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0">
    <w:nsid w:val="216147FB"/>
    <w:multiLevelType w:val="hybridMultilevel"/>
    <w:tmpl w:val="8442386C"/>
    <w:lvl w:ilvl="0" w:tplc="E7962C24">
      <w:start w:val="1"/>
      <w:numFmt w:val="bullet"/>
      <w:pStyle w:val="bullets"/>
      <w:lvlText w:val=""/>
      <w:lvlJc w:val="left"/>
      <w:pPr>
        <w:tabs>
          <w:tab w:val="num" w:pos="720"/>
        </w:tabs>
        <w:ind w:left="720" w:hanging="360"/>
      </w:pPr>
      <w:rPr>
        <w:rFonts w:ascii="Symbol" w:hAnsi="Symbol" w:hint="default"/>
      </w:rPr>
    </w:lvl>
    <w:lvl w:ilvl="1" w:tplc="CEC044BE" w:tentative="1">
      <w:start w:val="1"/>
      <w:numFmt w:val="bullet"/>
      <w:lvlText w:val="o"/>
      <w:lvlJc w:val="left"/>
      <w:pPr>
        <w:tabs>
          <w:tab w:val="num" w:pos="1440"/>
        </w:tabs>
        <w:ind w:left="1440" w:hanging="360"/>
      </w:pPr>
      <w:rPr>
        <w:rFonts w:ascii="Courier New" w:hAnsi="Courier New" w:hint="default"/>
      </w:rPr>
    </w:lvl>
    <w:lvl w:ilvl="2" w:tplc="B1A6AEEA" w:tentative="1">
      <w:start w:val="1"/>
      <w:numFmt w:val="bullet"/>
      <w:lvlText w:val=""/>
      <w:lvlJc w:val="left"/>
      <w:pPr>
        <w:tabs>
          <w:tab w:val="num" w:pos="2160"/>
        </w:tabs>
        <w:ind w:left="2160" w:hanging="360"/>
      </w:pPr>
      <w:rPr>
        <w:rFonts w:ascii="Wingdings" w:hAnsi="Wingdings" w:hint="default"/>
      </w:rPr>
    </w:lvl>
    <w:lvl w:ilvl="3" w:tplc="B1AEE7AA" w:tentative="1">
      <w:start w:val="1"/>
      <w:numFmt w:val="bullet"/>
      <w:lvlText w:val=""/>
      <w:lvlJc w:val="left"/>
      <w:pPr>
        <w:tabs>
          <w:tab w:val="num" w:pos="2880"/>
        </w:tabs>
        <w:ind w:left="2880" w:hanging="360"/>
      </w:pPr>
      <w:rPr>
        <w:rFonts w:ascii="Symbol" w:hAnsi="Symbol" w:hint="default"/>
      </w:rPr>
    </w:lvl>
    <w:lvl w:ilvl="4" w:tplc="EC32C618" w:tentative="1">
      <w:start w:val="1"/>
      <w:numFmt w:val="bullet"/>
      <w:lvlText w:val="o"/>
      <w:lvlJc w:val="left"/>
      <w:pPr>
        <w:tabs>
          <w:tab w:val="num" w:pos="3600"/>
        </w:tabs>
        <w:ind w:left="3600" w:hanging="360"/>
      </w:pPr>
      <w:rPr>
        <w:rFonts w:ascii="Courier New" w:hAnsi="Courier New" w:hint="default"/>
      </w:rPr>
    </w:lvl>
    <w:lvl w:ilvl="5" w:tplc="3730A1E4" w:tentative="1">
      <w:start w:val="1"/>
      <w:numFmt w:val="bullet"/>
      <w:lvlText w:val=""/>
      <w:lvlJc w:val="left"/>
      <w:pPr>
        <w:tabs>
          <w:tab w:val="num" w:pos="4320"/>
        </w:tabs>
        <w:ind w:left="4320" w:hanging="360"/>
      </w:pPr>
      <w:rPr>
        <w:rFonts w:ascii="Wingdings" w:hAnsi="Wingdings" w:hint="default"/>
      </w:rPr>
    </w:lvl>
    <w:lvl w:ilvl="6" w:tplc="37ECAB04" w:tentative="1">
      <w:start w:val="1"/>
      <w:numFmt w:val="bullet"/>
      <w:lvlText w:val=""/>
      <w:lvlJc w:val="left"/>
      <w:pPr>
        <w:tabs>
          <w:tab w:val="num" w:pos="5040"/>
        </w:tabs>
        <w:ind w:left="5040" w:hanging="360"/>
      </w:pPr>
      <w:rPr>
        <w:rFonts w:ascii="Symbol" w:hAnsi="Symbol" w:hint="default"/>
      </w:rPr>
    </w:lvl>
    <w:lvl w:ilvl="7" w:tplc="4D9817AC" w:tentative="1">
      <w:start w:val="1"/>
      <w:numFmt w:val="bullet"/>
      <w:lvlText w:val="o"/>
      <w:lvlJc w:val="left"/>
      <w:pPr>
        <w:tabs>
          <w:tab w:val="num" w:pos="5760"/>
        </w:tabs>
        <w:ind w:left="5760" w:hanging="360"/>
      </w:pPr>
      <w:rPr>
        <w:rFonts w:ascii="Courier New" w:hAnsi="Courier New" w:hint="default"/>
      </w:rPr>
    </w:lvl>
    <w:lvl w:ilvl="8" w:tplc="9B0EF9F0" w:tentative="1">
      <w:start w:val="1"/>
      <w:numFmt w:val="bullet"/>
      <w:lvlText w:val=""/>
      <w:lvlJc w:val="left"/>
      <w:pPr>
        <w:tabs>
          <w:tab w:val="num" w:pos="6480"/>
        </w:tabs>
        <w:ind w:left="6480" w:hanging="360"/>
      </w:pPr>
      <w:rPr>
        <w:rFonts w:ascii="Wingdings" w:hAnsi="Wingdings" w:hint="default"/>
      </w:rPr>
    </w:lvl>
  </w:abstractNum>
  <w:abstractNum w:abstractNumId="11">
    <w:nsid w:val="224322F7"/>
    <w:multiLevelType w:val="hybridMultilevel"/>
    <w:tmpl w:val="3D185412"/>
    <w:lvl w:ilvl="0" w:tplc="DCEABD64">
      <w:start w:val="1"/>
      <w:numFmt w:val="lowerRoman"/>
      <w:pStyle w:val="bulletsi"/>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45918"/>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3">
    <w:nsid w:val="315F47BF"/>
    <w:multiLevelType w:val="hybridMultilevel"/>
    <w:tmpl w:val="37808B42"/>
    <w:lvl w:ilvl="0" w:tplc="3D707E9C">
      <w:start w:val="1"/>
      <w:numFmt w:val="bullet"/>
      <w:pStyle w:val="HTMLCite"/>
      <w:lvlText w:val=""/>
      <w:lvlJc w:val="left"/>
      <w:pPr>
        <w:ind w:left="1440" w:hanging="360"/>
      </w:pPr>
      <w:rPr>
        <w:rFonts w:ascii="Symbol" w:hAnsi="Symbol" w:hint="default"/>
      </w:rPr>
    </w:lvl>
    <w:lvl w:ilvl="1" w:tplc="95CE9372" w:tentative="1">
      <w:start w:val="1"/>
      <w:numFmt w:val="bullet"/>
      <w:lvlText w:val="o"/>
      <w:lvlJc w:val="left"/>
      <w:pPr>
        <w:ind w:left="2160" w:hanging="360"/>
      </w:pPr>
      <w:rPr>
        <w:rFonts w:ascii="Courier New" w:hAnsi="Courier New" w:hint="default"/>
      </w:rPr>
    </w:lvl>
    <w:lvl w:ilvl="2" w:tplc="EB8C0454" w:tentative="1">
      <w:start w:val="1"/>
      <w:numFmt w:val="bullet"/>
      <w:lvlText w:val=""/>
      <w:lvlJc w:val="left"/>
      <w:pPr>
        <w:ind w:left="2880" w:hanging="360"/>
      </w:pPr>
      <w:rPr>
        <w:rFonts w:ascii="Wingdings" w:hAnsi="Wingdings" w:hint="default"/>
      </w:rPr>
    </w:lvl>
    <w:lvl w:ilvl="3" w:tplc="8BBE5BF8" w:tentative="1">
      <w:start w:val="1"/>
      <w:numFmt w:val="bullet"/>
      <w:lvlText w:val=""/>
      <w:lvlJc w:val="left"/>
      <w:pPr>
        <w:ind w:left="3600" w:hanging="360"/>
      </w:pPr>
      <w:rPr>
        <w:rFonts w:ascii="Symbol" w:hAnsi="Symbol" w:hint="default"/>
      </w:rPr>
    </w:lvl>
    <w:lvl w:ilvl="4" w:tplc="B50C1910" w:tentative="1">
      <w:start w:val="1"/>
      <w:numFmt w:val="bullet"/>
      <w:lvlText w:val="o"/>
      <w:lvlJc w:val="left"/>
      <w:pPr>
        <w:ind w:left="4320" w:hanging="360"/>
      </w:pPr>
      <w:rPr>
        <w:rFonts w:ascii="Courier New" w:hAnsi="Courier New" w:hint="default"/>
      </w:rPr>
    </w:lvl>
    <w:lvl w:ilvl="5" w:tplc="D2849E74" w:tentative="1">
      <w:start w:val="1"/>
      <w:numFmt w:val="bullet"/>
      <w:lvlText w:val=""/>
      <w:lvlJc w:val="left"/>
      <w:pPr>
        <w:ind w:left="5040" w:hanging="360"/>
      </w:pPr>
      <w:rPr>
        <w:rFonts w:ascii="Wingdings" w:hAnsi="Wingdings" w:hint="default"/>
      </w:rPr>
    </w:lvl>
    <w:lvl w:ilvl="6" w:tplc="3AB8388C" w:tentative="1">
      <w:start w:val="1"/>
      <w:numFmt w:val="bullet"/>
      <w:lvlText w:val=""/>
      <w:lvlJc w:val="left"/>
      <w:pPr>
        <w:ind w:left="5760" w:hanging="360"/>
      </w:pPr>
      <w:rPr>
        <w:rFonts w:ascii="Symbol" w:hAnsi="Symbol" w:hint="default"/>
      </w:rPr>
    </w:lvl>
    <w:lvl w:ilvl="7" w:tplc="D206CB7E" w:tentative="1">
      <w:start w:val="1"/>
      <w:numFmt w:val="bullet"/>
      <w:lvlText w:val="o"/>
      <w:lvlJc w:val="left"/>
      <w:pPr>
        <w:ind w:left="6480" w:hanging="360"/>
      </w:pPr>
      <w:rPr>
        <w:rFonts w:ascii="Courier New" w:hAnsi="Courier New" w:hint="default"/>
      </w:rPr>
    </w:lvl>
    <w:lvl w:ilvl="8" w:tplc="1FF8EC02" w:tentative="1">
      <w:start w:val="1"/>
      <w:numFmt w:val="bullet"/>
      <w:lvlText w:val=""/>
      <w:lvlJc w:val="left"/>
      <w:pPr>
        <w:ind w:left="7200" w:hanging="360"/>
      </w:pPr>
      <w:rPr>
        <w:rFonts w:ascii="Wingdings" w:hAnsi="Wingdings" w:hint="default"/>
      </w:rPr>
    </w:lvl>
  </w:abstractNum>
  <w:abstractNum w:abstractNumId="14">
    <w:nsid w:val="37B26888"/>
    <w:multiLevelType w:val="hybridMultilevel"/>
    <w:tmpl w:val="891A4CD6"/>
    <w:lvl w:ilvl="0" w:tplc="29E6C9FC">
      <w:start w:val="4"/>
      <w:numFmt w:val="upperRoman"/>
      <w:lvlText w:val="%1."/>
      <w:lvlJc w:val="left"/>
      <w:pPr>
        <w:ind w:left="720" w:hanging="720"/>
      </w:pPr>
      <w:rPr>
        <w:rFonts w:hint="default"/>
      </w:rPr>
    </w:lvl>
    <w:lvl w:ilvl="1" w:tplc="72CA28B6" w:tentative="1">
      <w:start w:val="1"/>
      <w:numFmt w:val="lowerLetter"/>
      <w:lvlText w:val="%2."/>
      <w:lvlJc w:val="left"/>
      <w:pPr>
        <w:ind w:left="1080" w:hanging="360"/>
      </w:pPr>
    </w:lvl>
    <w:lvl w:ilvl="2" w:tplc="4D6A56C6" w:tentative="1">
      <w:start w:val="1"/>
      <w:numFmt w:val="lowerRoman"/>
      <w:lvlText w:val="%3."/>
      <w:lvlJc w:val="right"/>
      <w:pPr>
        <w:ind w:left="1800" w:hanging="180"/>
      </w:pPr>
    </w:lvl>
    <w:lvl w:ilvl="3" w:tplc="4314AFE0" w:tentative="1">
      <w:start w:val="1"/>
      <w:numFmt w:val="decimal"/>
      <w:lvlText w:val="%4."/>
      <w:lvlJc w:val="left"/>
      <w:pPr>
        <w:ind w:left="2520" w:hanging="360"/>
      </w:pPr>
    </w:lvl>
    <w:lvl w:ilvl="4" w:tplc="A71EA25C" w:tentative="1">
      <w:start w:val="1"/>
      <w:numFmt w:val="lowerLetter"/>
      <w:lvlText w:val="%5."/>
      <w:lvlJc w:val="left"/>
      <w:pPr>
        <w:ind w:left="3240" w:hanging="360"/>
      </w:pPr>
    </w:lvl>
    <w:lvl w:ilvl="5" w:tplc="1B307C14" w:tentative="1">
      <w:start w:val="1"/>
      <w:numFmt w:val="lowerRoman"/>
      <w:lvlText w:val="%6."/>
      <w:lvlJc w:val="right"/>
      <w:pPr>
        <w:ind w:left="3960" w:hanging="180"/>
      </w:pPr>
    </w:lvl>
    <w:lvl w:ilvl="6" w:tplc="6C2AF258" w:tentative="1">
      <w:start w:val="1"/>
      <w:numFmt w:val="decimal"/>
      <w:lvlText w:val="%7."/>
      <w:lvlJc w:val="left"/>
      <w:pPr>
        <w:ind w:left="4680" w:hanging="360"/>
      </w:pPr>
    </w:lvl>
    <w:lvl w:ilvl="7" w:tplc="D012BE4E" w:tentative="1">
      <w:start w:val="1"/>
      <w:numFmt w:val="lowerLetter"/>
      <w:lvlText w:val="%8."/>
      <w:lvlJc w:val="left"/>
      <w:pPr>
        <w:ind w:left="5400" w:hanging="360"/>
      </w:pPr>
    </w:lvl>
    <w:lvl w:ilvl="8" w:tplc="5322CA04" w:tentative="1">
      <w:start w:val="1"/>
      <w:numFmt w:val="lowerRoman"/>
      <w:lvlText w:val="%9."/>
      <w:lvlJc w:val="right"/>
      <w:pPr>
        <w:ind w:left="6120" w:hanging="180"/>
      </w:pPr>
    </w:lvl>
  </w:abstractNum>
  <w:abstractNum w:abstractNumId="15">
    <w:nsid w:val="3A063BEF"/>
    <w:multiLevelType w:val="multilevel"/>
    <w:tmpl w:val="6A269CFC"/>
    <w:lvl w:ilvl="0">
      <w:start w:val="1"/>
      <w:numFmt w:val="lowerLetter"/>
      <w:lvlText w:val="(%1)"/>
      <w:lvlJc w:val="left"/>
      <w:pPr>
        <w:ind w:left="720" w:hanging="360"/>
      </w:pPr>
      <w:rPr>
        <w:rFonts w:hint="default"/>
        <w:b w:val="0"/>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nsid w:val="49B14A3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7">
    <w:nsid w:val="4C0530E1"/>
    <w:multiLevelType w:val="multilevel"/>
    <w:tmpl w:val="B5040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08F45EA"/>
    <w:multiLevelType w:val="hybridMultilevel"/>
    <w:tmpl w:val="DFDC8982"/>
    <w:lvl w:ilvl="0" w:tplc="CFDA7BE2">
      <w:start w:val="1"/>
      <w:numFmt w:val="bullet"/>
      <w:lvlText w:val=""/>
      <w:lvlJc w:val="left"/>
      <w:pPr>
        <w:ind w:left="450" w:hanging="360"/>
      </w:pPr>
      <w:rPr>
        <w:rFonts w:ascii="Symbol" w:hAnsi="Symbol" w:hint="default"/>
      </w:rPr>
    </w:lvl>
    <w:lvl w:ilvl="1" w:tplc="1E3C2AA2" w:tentative="1">
      <w:start w:val="1"/>
      <w:numFmt w:val="bullet"/>
      <w:lvlText w:val="o"/>
      <w:lvlJc w:val="left"/>
      <w:pPr>
        <w:ind w:left="1170" w:hanging="360"/>
      </w:pPr>
      <w:rPr>
        <w:rFonts w:ascii="Courier New" w:hAnsi="Courier New" w:hint="default"/>
      </w:rPr>
    </w:lvl>
    <w:lvl w:ilvl="2" w:tplc="F3CC92EE" w:tentative="1">
      <w:start w:val="1"/>
      <w:numFmt w:val="bullet"/>
      <w:lvlText w:val=""/>
      <w:lvlJc w:val="left"/>
      <w:pPr>
        <w:ind w:left="1890" w:hanging="360"/>
      </w:pPr>
      <w:rPr>
        <w:rFonts w:ascii="Wingdings" w:hAnsi="Wingdings" w:hint="default"/>
      </w:rPr>
    </w:lvl>
    <w:lvl w:ilvl="3" w:tplc="5EF8C68A" w:tentative="1">
      <w:start w:val="1"/>
      <w:numFmt w:val="bullet"/>
      <w:lvlText w:val=""/>
      <w:lvlJc w:val="left"/>
      <w:pPr>
        <w:ind w:left="2610" w:hanging="360"/>
      </w:pPr>
      <w:rPr>
        <w:rFonts w:ascii="Symbol" w:hAnsi="Symbol" w:hint="default"/>
      </w:rPr>
    </w:lvl>
    <w:lvl w:ilvl="4" w:tplc="124E96BA" w:tentative="1">
      <w:start w:val="1"/>
      <w:numFmt w:val="bullet"/>
      <w:lvlText w:val="o"/>
      <w:lvlJc w:val="left"/>
      <w:pPr>
        <w:ind w:left="3330" w:hanging="360"/>
      </w:pPr>
      <w:rPr>
        <w:rFonts w:ascii="Courier New" w:hAnsi="Courier New" w:hint="default"/>
      </w:rPr>
    </w:lvl>
    <w:lvl w:ilvl="5" w:tplc="C2C44EA0" w:tentative="1">
      <w:start w:val="1"/>
      <w:numFmt w:val="bullet"/>
      <w:lvlText w:val=""/>
      <w:lvlJc w:val="left"/>
      <w:pPr>
        <w:ind w:left="4050" w:hanging="360"/>
      </w:pPr>
      <w:rPr>
        <w:rFonts w:ascii="Wingdings" w:hAnsi="Wingdings" w:hint="default"/>
      </w:rPr>
    </w:lvl>
    <w:lvl w:ilvl="6" w:tplc="A40A8CDE" w:tentative="1">
      <w:start w:val="1"/>
      <w:numFmt w:val="bullet"/>
      <w:lvlText w:val=""/>
      <w:lvlJc w:val="left"/>
      <w:pPr>
        <w:ind w:left="4770" w:hanging="360"/>
      </w:pPr>
      <w:rPr>
        <w:rFonts w:ascii="Symbol" w:hAnsi="Symbol" w:hint="default"/>
      </w:rPr>
    </w:lvl>
    <w:lvl w:ilvl="7" w:tplc="9FF88BC0" w:tentative="1">
      <w:start w:val="1"/>
      <w:numFmt w:val="bullet"/>
      <w:lvlText w:val="o"/>
      <w:lvlJc w:val="left"/>
      <w:pPr>
        <w:ind w:left="5490" w:hanging="360"/>
      </w:pPr>
      <w:rPr>
        <w:rFonts w:ascii="Courier New" w:hAnsi="Courier New" w:hint="default"/>
      </w:rPr>
    </w:lvl>
    <w:lvl w:ilvl="8" w:tplc="D96A432A" w:tentative="1">
      <w:start w:val="1"/>
      <w:numFmt w:val="bullet"/>
      <w:lvlText w:val=""/>
      <w:lvlJc w:val="left"/>
      <w:pPr>
        <w:ind w:left="6210" w:hanging="360"/>
      </w:pPr>
      <w:rPr>
        <w:rFonts w:ascii="Wingdings" w:hAnsi="Wingdings" w:hint="default"/>
      </w:rPr>
    </w:lvl>
  </w:abstractNum>
  <w:abstractNum w:abstractNumId="19">
    <w:nsid w:val="57355618"/>
    <w:multiLevelType w:val="hybridMultilevel"/>
    <w:tmpl w:val="F418FB8A"/>
    <w:lvl w:ilvl="0" w:tplc="00010409">
      <w:start w:val="1"/>
      <w:numFmt w:val="decimal"/>
      <w:pStyle w:val="bullets1"/>
      <w:lvlText w:val="%1."/>
      <w:lvlJc w:val="left"/>
      <w:pPr>
        <w:ind w:left="3600" w:hanging="360"/>
      </w:pPr>
      <w:rPr>
        <w:rFonts w:hint="default"/>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20">
    <w:nsid w:val="66E9582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21">
    <w:nsid w:val="7D515D6F"/>
    <w:multiLevelType w:val="hybridMultilevel"/>
    <w:tmpl w:val="1A64B9DE"/>
    <w:lvl w:ilvl="0" w:tplc="3E8A94E4">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ListParagraph"/>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0"/>
  </w:num>
  <w:num w:numId="8">
    <w:abstractNumId w:val="21"/>
  </w:num>
  <w:num w:numId="9">
    <w:abstractNumId w:val="5"/>
  </w:num>
  <w:num w:numId="10">
    <w:abstractNumId w:val="6"/>
  </w:num>
  <w:num w:numId="11">
    <w:abstractNumId w:val="18"/>
  </w:num>
  <w:num w:numId="12">
    <w:abstractNumId w:val="7"/>
  </w:num>
  <w:num w:numId="13">
    <w:abstractNumId w:val="11"/>
  </w:num>
  <w:num w:numId="14">
    <w:abstractNumId w:val="19"/>
  </w:num>
  <w:num w:numId="15">
    <w:abstractNumId w:val="8"/>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3"/>
    </w:lvlOverride>
  </w:num>
  <w:num w:numId="21">
    <w:abstractNumId w:val="15"/>
  </w:num>
  <w:num w:numId="22">
    <w:abstractNumId w:val="9"/>
  </w:num>
  <w:num w:numId="23">
    <w:abstractNumId w:val="14"/>
  </w:num>
  <w:num w:numId="24">
    <w:abstractNumId w:val="16"/>
  </w:num>
  <w:num w:numId="25">
    <w:abstractNumId w:val="20"/>
  </w:num>
  <w:num w:numId="26">
    <w:abstractNumId w:val="1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oNotTrackMoves/>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0"/>
    <w:footnote w:id="1"/>
  </w:footnotePr>
  <w:endnotePr>
    <w:numFmt w:val="decimal"/>
    <w:endnote w:id="0"/>
    <w:endnote w:id="1"/>
  </w:endnotePr>
  <w:compat/>
  <w:rsids>
    <w:rsidRoot w:val="00EB6B3B"/>
    <w:rsid w:val="00001C5A"/>
    <w:rsid w:val="000A0281"/>
    <w:rsid w:val="000F13B7"/>
    <w:rsid w:val="00136BD7"/>
    <w:rsid w:val="00151393"/>
    <w:rsid w:val="00154FBA"/>
    <w:rsid w:val="00162602"/>
    <w:rsid w:val="001B7EEC"/>
    <w:rsid w:val="0020440F"/>
    <w:rsid w:val="002106DB"/>
    <w:rsid w:val="0021490C"/>
    <w:rsid w:val="00220A77"/>
    <w:rsid w:val="002514D9"/>
    <w:rsid w:val="00287DC9"/>
    <w:rsid w:val="002C1250"/>
    <w:rsid w:val="00356A74"/>
    <w:rsid w:val="003621F6"/>
    <w:rsid w:val="003A3270"/>
    <w:rsid w:val="003A4D89"/>
    <w:rsid w:val="003D5FED"/>
    <w:rsid w:val="00411511"/>
    <w:rsid w:val="0045370E"/>
    <w:rsid w:val="00480FB0"/>
    <w:rsid w:val="00483642"/>
    <w:rsid w:val="004A0636"/>
    <w:rsid w:val="004E030D"/>
    <w:rsid w:val="00525A00"/>
    <w:rsid w:val="00554A6F"/>
    <w:rsid w:val="00564E7E"/>
    <w:rsid w:val="005E626D"/>
    <w:rsid w:val="00607CD2"/>
    <w:rsid w:val="00647B23"/>
    <w:rsid w:val="00681119"/>
    <w:rsid w:val="006A5494"/>
    <w:rsid w:val="006F796F"/>
    <w:rsid w:val="0076194F"/>
    <w:rsid w:val="00764A9C"/>
    <w:rsid w:val="00814C0C"/>
    <w:rsid w:val="00843696"/>
    <w:rsid w:val="008518EF"/>
    <w:rsid w:val="008944CD"/>
    <w:rsid w:val="008C7823"/>
    <w:rsid w:val="008C7A32"/>
    <w:rsid w:val="00932B1C"/>
    <w:rsid w:val="00947FB7"/>
    <w:rsid w:val="00976834"/>
    <w:rsid w:val="00990A51"/>
    <w:rsid w:val="0099636A"/>
    <w:rsid w:val="009B7E83"/>
    <w:rsid w:val="00A07A53"/>
    <w:rsid w:val="00A75E3F"/>
    <w:rsid w:val="00B10A6F"/>
    <w:rsid w:val="00B17264"/>
    <w:rsid w:val="00B668C8"/>
    <w:rsid w:val="00B77CD4"/>
    <w:rsid w:val="00C815C8"/>
    <w:rsid w:val="00C97CC1"/>
    <w:rsid w:val="00CE0FD0"/>
    <w:rsid w:val="00D14FA2"/>
    <w:rsid w:val="00D206DE"/>
    <w:rsid w:val="00DA0D86"/>
    <w:rsid w:val="00DB1C14"/>
    <w:rsid w:val="00DB7284"/>
    <w:rsid w:val="00DB7AD0"/>
    <w:rsid w:val="00DC56DD"/>
    <w:rsid w:val="00E77A1C"/>
    <w:rsid w:val="00EB6B3B"/>
    <w:rsid w:val="00F84E1D"/>
    <w:rsid w:val="00F85E13"/>
    <w:rsid w:val="00FB3720"/>
    <w:rsid w:val="00FC1B8B"/>
    <w:rsid w:val="00FE04C6"/>
    <w:rsid w:val="00FF4B15"/>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rsid w:val="0045370E"/>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rsid w:val="0045370E"/>
    <w:rPr>
      <w:b/>
      <w:bCs/>
      <w:sz w:val="28"/>
      <w:szCs w:val="28"/>
    </w:rPr>
  </w:style>
  <w:style w:type="character" w:customStyle="1" w:styleId="Heading5Char">
    <w:name w:val="Heading 5 Char"/>
    <w:basedOn w:val="DefaultParagraphFont"/>
    <w:rsid w:val="0045370E"/>
    <w:rPr>
      <w:rFonts w:ascii="Courier" w:hAnsi="Courier"/>
      <w:b/>
      <w:bCs/>
      <w:i/>
      <w:iCs/>
      <w:sz w:val="26"/>
      <w:szCs w:val="26"/>
    </w:rPr>
  </w:style>
  <w:style w:type="character" w:customStyle="1" w:styleId="Heading6Char">
    <w:name w:val="Heading 6 Char"/>
    <w:basedOn w:val="DefaultParagraphFont"/>
    <w:rsid w:val="0045370E"/>
    <w:rPr>
      <w:b/>
      <w:bCs/>
      <w:sz w:val="22"/>
      <w:szCs w:val="22"/>
    </w:rPr>
  </w:style>
  <w:style w:type="character" w:customStyle="1" w:styleId="Heading7Char">
    <w:name w:val="Heading 7 Char"/>
    <w:basedOn w:val="DefaultParagraphFont"/>
    <w:rsid w:val="0045370E"/>
    <w:rPr>
      <w:sz w:val="24"/>
      <w:szCs w:val="24"/>
    </w:rPr>
  </w:style>
  <w:style w:type="character" w:customStyle="1" w:styleId="Heading8Char">
    <w:name w:val="Heading 8 Char"/>
    <w:basedOn w:val="DefaultParagraphFont"/>
    <w:rsid w:val="0045370E"/>
    <w:rPr>
      <w:i/>
      <w:iCs/>
      <w:sz w:val="24"/>
      <w:szCs w:val="24"/>
    </w:rPr>
  </w:style>
  <w:style w:type="character" w:customStyle="1" w:styleId="Heading9Char">
    <w:name w:val="Heading 9 Char"/>
    <w:basedOn w:val="DefaultParagraphFont"/>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uiPriority w:val="99"/>
    <w:rsid w:val="0045370E"/>
    <w:rPr>
      <w:rFonts w:ascii="Times New Roman" w:hAnsi="Times New Roman"/>
      <w:sz w:val="18"/>
      <w:vertAlign w:val="superscript"/>
    </w:rPr>
  </w:style>
  <w:style w:type="character" w:styleId="Hyperlink">
    <w:name w:val="Hyperlink"/>
    <w:basedOn w:val="DefaultParagraphFont"/>
    <w:uiPriority w:val="99"/>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uiPriority w:val="99"/>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uiPriority w:val="99"/>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uiPriority w:val="99"/>
    <w:rsid w:val="0045370E"/>
    <w:pPr>
      <w:ind w:firstLine="0"/>
      <w:jc w:val="center"/>
    </w:pPr>
  </w:style>
  <w:style w:type="paragraph" w:customStyle="1" w:styleId="NormalText">
    <w:name w:val="Normal Text"/>
    <w:basedOn w:val="Normal"/>
    <w:uiPriority w:val="99"/>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uiPriority w:val="99"/>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uiPriority w:val="99"/>
    <w:rsid w:val="0045370E"/>
    <w:rPr>
      <w:rFonts w:ascii="Arial Unicode MS" w:eastAsia="Arial Unicode MS" w:hAnsi="Arial Unicode MS"/>
    </w:rPr>
  </w:style>
  <w:style w:type="paragraph" w:customStyle="1" w:styleId="LevelBase">
    <w:name w:val="Level Base"/>
    <w:basedOn w:val="NormalText"/>
    <w:uiPriority w:val="99"/>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uiPriority w:val="99"/>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uiPriority w:val="99"/>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45370E"/>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45370E"/>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45370E"/>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45370E"/>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45370E"/>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45370E"/>
    <w:rPr>
      <w:dstrike w:val="0"/>
      <w:color w:val="auto"/>
      <w:spacing w:val="0"/>
      <w:w w:val="100"/>
      <w:kern w:val="0"/>
      <w:position w:val="-4"/>
      <w:sz w:val="24"/>
      <w:vertAlign w:val="superscript"/>
    </w:rPr>
  </w:style>
  <w:style w:type="paragraph" w:customStyle="1" w:styleId="bullets">
    <w:name w:val="bullets"/>
    <w:basedOn w:val="Normal"/>
    <w:qFormat/>
    <w:rsid w:val="00D206DE"/>
    <w:pPr>
      <w:numPr>
        <w:numId w:val="7"/>
      </w:numPr>
      <w:spacing w:after="240" w:line="288" w:lineRule="auto"/>
      <w:ind w:hanging="270"/>
    </w:pPr>
  </w:style>
  <w:style w:type="paragraph" w:styleId="BodyText">
    <w:name w:val="Body Text"/>
    <w:basedOn w:val="Normal"/>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uiPriority w:val="99"/>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uiPriority w:val="99"/>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uiPriority w:val="99"/>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uiPriority w:val="99"/>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45370E"/>
    <w:pPr>
      <w:numPr>
        <w:numId w:val="6"/>
      </w:numPr>
      <w:ind w:right="115"/>
    </w:pPr>
  </w:style>
  <w:style w:type="paragraph" w:customStyle="1" w:styleId="bullets-abc">
    <w:name w:val="bullets-a b c"/>
    <w:basedOn w:val="bullets"/>
    <w:qFormat/>
    <w:rsid w:val="00945657"/>
    <w:pPr>
      <w:numPr>
        <w:numId w:val="27"/>
      </w:numPr>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abc"/>
    <w:qFormat/>
    <w:rsid w:val="00945657"/>
    <w:pPr>
      <w:numPr>
        <w:numId w:val="13"/>
      </w:numPr>
      <w:ind w:left="10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45370E"/>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abc"/>
    <w:next w:val="BasicParagraph"/>
    <w:qFormat/>
    <w:rsid w:val="006F796F"/>
    <w:pPr>
      <w:numPr>
        <w:numId w:val="14"/>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s>
</file>

<file path=word/webSettings.xml><?xml version="1.0" encoding="utf-8"?>
<w:webSettings xmlns:r="http://schemas.openxmlformats.org/officeDocument/2006/relationships" xmlns:w="http://schemas.openxmlformats.org/wordprocessingml/2006/main">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3704</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4548</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SANDRA KOENIG</cp:lastModifiedBy>
  <cp:revision>3</cp:revision>
  <cp:lastPrinted>2014-11-04T00:44:00Z</cp:lastPrinted>
  <dcterms:created xsi:type="dcterms:W3CDTF">2014-11-04T00:44:00Z</dcterms:created>
  <dcterms:modified xsi:type="dcterms:W3CDTF">2014-11-04T00:46:00Z</dcterms:modified>
</cp:coreProperties>
</file>