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B501" w14:textId="04A1CDC0" w:rsidR="007F5D67" w:rsidRPr="007F5D67" w:rsidRDefault="007F5D67" w:rsidP="007F5D67">
      <w:pPr>
        <w:spacing w:line="259" w:lineRule="auto"/>
        <w:jc w:val="center"/>
        <w:rPr>
          <w:rFonts w:asciiTheme="majorHAnsi" w:hAnsiTheme="majorHAnsi" w:cstheme="majorHAnsi"/>
          <w:b/>
          <w:bCs/>
          <w:sz w:val="28"/>
          <w:szCs w:val="28"/>
        </w:rPr>
      </w:pPr>
      <w:r w:rsidRPr="007F5D67">
        <w:rPr>
          <w:rFonts w:asciiTheme="majorHAnsi" w:hAnsiTheme="majorHAnsi" w:cstheme="majorHAnsi"/>
          <w:b/>
          <w:bCs/>
          <w:sz w:val="28"/>
          <w:szCs w:val="28"/>
        </w:rPr>
        <w:t>20</w:t>
      </w:r>
      <w:r>
        <w:rPr>
          <w:rFonts w:asciiTheme="majorHAnsi" w:hAnsiTheme="majorHAnsi" w:cstheme="majorHAnsi"/>
          <w:b/>
          <w:bCs/>
          <w:sz w:val="28"/>
          <w:szCs w:val="28"/>
        </w:rPr>
        <w:t>21</w:t>
      </w:r>
      <w:r w:rsidRPr="007F5D67">
        <w:rPr>
          <w:rFonts w:asciiTheme="majorHAnsi" w:hAnsiTheme="majorHAnsi" w:cstheme="majorHAnsi"/>
          <w:b/>
          <w:bCs/>
          <w:sz w:val="28"/>
          <w:szCs w:val="28"/>
        </w:rPr>
        <w:t xml:space="preserve"> PSR UPDATE: STATUS OF STATE DRAM SHOP LIABILITY</w:t>
      </w:r>
    </w:p>
    <w:p w14:paraId="3F5823C1" w14:textId="55C96708" w:rsidR="007F5D67" w:rsidRPr="007F5D67" w:rsidRDefault="007F5D67" w:rsidP="007F5D67">
      <w:pPr>
        <w:spacing w:after="160" w:line="259" w:lineRule="auto"/>
        <w:jc w:val="center"/>
        <w:rPr>
          <w:rFonts w:asciiTheme="majorHAnsi" w:eastAsia="Calibri" w:hAnsiTheme="majorHAnsi" w:cstheme="majorHAnsi"/>
          <w:sz w:val="22"/>
          <w:szCs w:val="22"/>
        </w:rPr>
      </w:pPr>
      <w:r w:rsidRPr="007F5D67">
        <w:rPr>
          <w:rFonts w:asciiTheme="majorHAnsi" w:hAnsiTheme="majorHAnsi" w:cstheme="majorHAnsi"/>
        </w:rPr>
        <w:t>November 15, 2021</w:t>
      </w:r>
    </w:p>
    <w:p w14:paraId="1705758F" w14:textId="77777777" w:rsidR="007F5D67" w:rsidRDefault="007F5D67" w:rsidP="006269C2">
      <w:pPr>
        <w:spacing w:after="160" w:line="259" w:lineRule="auto"/>
        <w:rPr>
          <w:rFonts w:ascii="Calibri" w:eastAsia="Calibri" w:hAnsi="Calibri"/>
          <w:sz w:val="22"/>
          <w:szCs w:val="22"/>
        </w:rPr>
      </w:pPr>
    </w:p>
    <w:p w14:paraId="1EE2AD56" w14:textId="336078C2" w:rsidR="006269C2" w:rsidRPr="006269C2" w:rsidRDefault="006269C2" w:rsidP="007F5D67">
      <w:pPr>
        <w:spacing w:line="259" w:lineRule="auto"/>
        <w:rPr>
          <w:rFonts w:ascii="Calibri" w:eastAsia="Calibri" w:hAnsi="Calibri"/>
          <w:b/>
          <w:bCs/>
          <w:sz w:val="22"/>
          <w:szCs w:val="22"/>
        </w:rPr>
      </w:pPr>
      <w:r w:rsidRPr="006269C2">
        <w:rPr>
          <w:rFonts w:ascii="Calibri" w:eastAsia="Calibri" w:hAnsi="Calibri"/>
          <w:b/>
          <w:bCs/>
          <w:sz w:val="22"/>
          <w:szCs w:val="22"/>
        </w:rPr>
        <w:t>Background</w:t>
      </w:r>
    </w:p>
    <w:p w14:paraId="79208FEF" w14:textId="77777777" w:rsidR="006269C2" w:rsidRPr="006269C2" w:rsidRDefault="006269C2" w:rsidP="007F5D67">
      <w:pPr>
        <w:spacing w:after="240" w:line="259" w:lineRule="auto"/>
        <w:rPr>
          <w:rFonts w:ascii="Calibri" w:eastAsia="Calibri" w:hAnsi="Calibri"/>
          <w:sz w:val="22"/>
          <w:szCs w:val="22"/>
        </w:rPr>
      </w:pPr>
      <w:r w:rsidRPr="006269C2">
        <w:rPr>
          <w:rFonts w:ascii="Calibri" w:eastAsia="Calibri" w:hAnsi="Calibri"/>
          <w:sz w:val="22"/>
          <w:szCs w:val="22"/>
        </w:rPr>
        <w:t xml:space="preserve">In 2021, legal research was conducted to update the status of commercial host (dram shop) liability laws in states and the District of Columbia (DC), as reported by the Centers for Disease Control and Prevention (CDC) in the Chronic Disease Indicators (CDIs). This update reviewed dram shop liability in the 50 states and </w:t>
      </w:r>
      <w:proofErr w:type="gramStart"/>
      <w:r w:rsidRPr="006269C2">
        <w:rPr>
          <w:rFonts w:ascii="Calibri" w:eastAsia="Calibri" w:hAnsi="Calibri"/>
          <w:sz w:val="22"/>
          <w:szCs w:val="22"/>
        </w:rPr>
        <w:t>DC, and</w:t>
      </w:r>
      <w:proofErr w:type="gramEnd"/>
      <w:r w:rsidRPr="006269C2">
        <w:rPr>
          <w:rFonts w:ascii="Calibri" w:eastAsia="Calibri" w:hAnsi="Calibri"/>
          <w:sz w:val="22"/>
          <w:szCs w:val="22"/>
        </w:rPr>
        <w:t xml:space="preserve"> determined whether there had been any changes to these laws from January 1, 2015, when the last review was completed, to January 1, 2021. </w:t>
      </w:r>
    </w:p>
    <w:p w14:paraId="713EBFE7" w14:textId="77777777" w:rsidR="006269C2" w:rsidRPr="006269C2" w:rsidRDefault="006269C2" w:rsidP="007F5D67">
      <w:pPr>
        <w:spacing w:line="259" w:lineRule="auto"/>
        <w:rPr>
          <w:rFonts w:ascii="Calibri" w:eastAsia="Calibri" w:hAnsi="Calibri"/>
          <w:b/>
          <w:bCs/>
          <w:sz w:val="22"/>
          <w:szCs w:val="22"/>
        </w:rPr>
      </w:pPr>
      <w:r w:rsidRPr="006269C2">
        <w:rPr>
          <w:rFonts w:ascii="Calibri" w:eastAsia="Calibri" w:hAnsi="Calibri"/>
          <w:b/>
          <w:bCs/>
          <w:sz w:val="22"/>
          <w:szCs w:val="22"/>
        </w:rPr>
        <w:t xml:space="preserve">Scope of Legal Research </w:t>
      </w:r>
    </w:p>
    <w:p w14:paraId="0F54F955" w14:textId="77777777" w:rsidR="006269C2" w:rsidRPr="006269C2" w:rsidRDefault="006269C2" w:rsidP="007F5D67">
      <w:pPr>
        <w:spacing w:after="240" w:line="259" w:lineRule="auto"/>
        <w:rPr>
          <w:rFonts w:ascii="Calibri" w:eastAsia="Calibri" w:hAnsi="Calibri"/>
          <w:sz w:val="22"/>
          <w:szCs w:val="22"/>
        </w:rPr>
      </w:pPr>
      <w:r w:rsidRPr="006269C2">
        <w:rPr>
          <w:rFonts w:ascii="Calibri" w:eastAsia="Calibri" w:hAnsi="Calibri"/>
          <w:sz w:val="22"/>
          <w:szCs w:val="22"/>
        </w:rPr>
        <w:t xml:space="preserve">The legal research specifically sought to identify whether the states and/or DC had added to or removed from state law either (1) dram shop liability or (2) a major limitation to imposing liability. A major limitation was defined as (1) increased evidence required for finding liability, (2) limits on permissible damage awards, or (3) restrictions on who may be sued. </w:t>
      </w:r>
    </w:p>
    <w:p w14:paraId="49EDE175" w14:textId="77777777" w:rsidR="006269C2" w:rsidRPr="006269C2" w:rsidRDefault="006269C2" w:rsidP="007F5D67">
      <w:pPr>
        <w:spacing w:line="259" w:lineRule="auto"/>
        <w:rPr>
          <w:rFonts w:ascii="Calibri" w:eastAsia="Calibri" w:hAnsi="Calibri"/>
          <w:b/>
          <w:bCs/>
          <w:sz w:val="22"/>
          <w:szCs w:val="22"/>
        </w:rPr>
      </w:pPr>
      <w:r w:rsidRPr="006269C2">
        <w:rPr>
          <w:rFonts w:ascii="Calibri" w:eastAsia="Calibri" w:hAnsi="Calibri"/>
          <w:b/>
          <w:bCs/>
          <w:sz w:val="22"/>
          <w:szCs w:val="22"/>
        </w:rPr>
        <w:t xml:space="preserve">Legal Research Method </w:t>
      </w:r>
    </w:p>
    <w:p w14:paraId="45EF2C75" w14:textId="1544D0A3" w:rsidR="006269C2" w:rsidRPr="006269C2" w:rsidRDefault="006269C2" w:rsidP="007F5D67">
      <w:pPr>
        <w:spacing w:after="240" w:line="259" w:lineRule="auto"/>
        <w:rPr>
          <w:rFonts w:ascii="Calibri" w:eastAsia="Calibri" w:hAnsi="Calibri"/>
          <w:sz w:val="22"/>
          <w:szCs w:val="22"/>
        </w:rPr>
      </w:pPr>
      <w:r w:rsidRPr="006269C2">
        <w:rPr>
          <w:rFonts w:ascii="Calibri" w:eastAsia="Calibri" w:hAnsi="Calibri"/>
          <w:sz w:val="22"/>
          <w:szCs w:val="22"/>
        </w:rPr>
        <w:t>A three-phase methodology was used to conduct this legal research. Phase one involved reviewing the laws and cases cited for CDI coding reflecting the status of dram shop liability as of January 1, 2015. In phase two, relevant sections of Liquor Liability Law</w:t>
      </w:r>
      <w:r w:rsidR="00400CF9">
        <w:rPr>
          <w:rFonts w:ascii="Calibri" w:eastAsia="Calibri" w:hAnsi="Calibri"/>
          <w:sz w:val="22"/>
          <w:szCs w:val="22"/>
        </w:rPr>
        <w:t>,</w:t>
      </w:r>
      <w:r w:rsidR="00400CF9">
        <w:rPr>
          <w:rStyle w:val="FootnoteReference"/>
          <w:rFonts w:ascii="Calibri" w:eastAsia="Calibri" w:hAnsi="Calibri"/>
          <w:sz w:val="22"/>
          <w:szCs w:val="22"/>
        </w:rPr>
        <w:footnoteReference w:id="1"/>
      </w:r>
      <w:r w:rsidRPr="006269C2">
        <w:rPr>
          <w:rFonts w:ascii="Calibri" w:eastAsia="Calibri" w:hAnsi="Calibri"/>
          <w:sz w:val="22"/>
          <w:szCs w:val="22"/>
        </w:rPr>
        <w:t xml:space="preserve"> a summary of state alcohol liability provisions, and the Report to Congress on Underage Drinking Prevention and Reduction (STOP Act Report) were reviewed to obtain current information on dram shop laws in states</w:t>
      </w:r>
      <w:r w:rsidR="00400CF9">
        <w:rPr>
          <w:rFonts w:ascii="Calibri" w:eastAsia="Calibri" w:hAnsi="Calibri"/>
          <w:sz w:val="22"/>
          <w:szCs w:val="22"/>
        </w:rPr>
        <w:t>.</w:t>
      </w:r>
      <w:r w:rsidR="00400CF9">
        <w:rPr>
          <w:rStyle w:val="FootnoteReference"/>
          <w:rFonts w:ascii="Calibri" w:eastAsia="Calibri" w:hAnsi="Calibri"/>
          <w:sz w:val="22"/>
          <w:szCs w:val="22"/>
        </w:rPr>
        <w:footnoteReference w:id="2"/>
      </w:r>
      <w:r w:rsidRPr="006269C2">
        <w:rPr>
          <w:rFonts w:ascii="Calibri" w:eastAsia="Calibri" w:hAnsi="Calibri"/>
          <w:sz w:val="22"/>
          <w:szCs w:val="22"/>
        </w:rPr>
        <w:t xml:space="preserve"> Finally, in phase three, Westlaw, an online legal research tool, was used to locate previously identified laws and conduct additional searches of relevant constitutional provisions, statutes, regulations, and related case law. Additional details on the legal research methods are described in Mosher JF, Cohen EN, Jernigan DH. Commercial host (dram shop) liability: </w:t>
      </w:r>
      <w:proofErr w:type="gramStart"/>
      <w:r w:rsidRPr="006269C2">
        <w:rPr>
          <w:rFonts w:ascii="Calibri" w:eastAsia="Calibri" w:hAnsi="Calibri"/>
          <w:sz w:val="22"/>
          <w:szCs w:val="22"/>
        </w:rPr>
        <w:t>current status</w:t>
      </w:r>
      <w:proofErr w:type="gramEnd"/>
      <w:r w:rsidRPr="006269C2">
        <w:rPr>
          <w:rFonts w:ascii="Calibri" w:eastAsia="Calibri" w:hAnsi="Calibri"/>
          <w:sz w:val="22"/>
          <w:szCs w:val="22"/>
        </w:rPr>
        <w:t xml:space="preserve"> and trends. American Journal of Preventive Medicine </w:t>
      </w:r>
      <w:proofErr w:type="gramStart"/>
      <w:r w:rsidRPr="006269C2">
        <w:rPr>
          <w:rFonts w:ascii="Calibri" w:eastAsia="Calibri" w:hAnsi="Calibri"/>
          <w:sz w:val="22"/>
          <w:szCs w:val="22"/>
        </w:rPr>
        <w:t>2013;45:347</w:t>
      </w:r>
      <w:proofErr w:type="gramEnd"/>
      <w:r w:rsidRPr="006269C2">
        <w:rPr>
          <w:rFonts w:ascii="Calibri" w:eastAsia="Calibri" w:hAnsi="Calibri"/>
          <w:sz w:val="22"/>
          <w:szCs w:val="22"/>
        </w:rPr>
        <w:t xml:space="preserve">–53. </w:t>
      </w:r>
    </w:p>
    <w:p w14:paraId="03894E03" w14:textId="77777777" w:rsidR="006269C2" w:rsidRPr="006269C2" w:rsidRDefault="006269C2" w:rsidP="007F5D67">
      <w:pPr>
        <w:spacing w:line="259" w:lineRule="auto"/>
        <w:rPr>
          <w:rFonts w:ascii="Calibri" w:eastAsia="Calibri" w:hAnsi="Calibri"/>
          <w:b/>
          <w:bCs/>
          <w:sz w:val="22"/>
          <w:szCs w:val="22"/>
        </w:rPr>
      </w:pPr>
      <w:r w:rsidRPr="006269C2">
        <w:rPr>
          <w:rFonts w:ascii="Calibri" w:eastAsia="Calibri" w:hAnsi="Calibri"/>
          <w:b/>
          <w:bCs/>
          <w:sz w:val="22"/>
          <w:szCs w:val="22"/>
        </w:rPr>
        <w:t xml:space="preserve">Changes Identified </w:t>
      </w:r>
    </w:p>
    <w:p w14:paraId="4D1C871E" w14:textId="73D55024" w:rsidR="006269C2" w:rsidRPr="006269C2" w:rsidRDefault="006269C2" w:rsidP="00400CF9">
      <w:pPr>
        <w:spacing w:after="160" w:line="259" w:lineRule="auto"/>
        <w:rPr>
          <w:rFonts w:ascii="Calibri" w:eastAsia="Calibri" w:hAnsi="Calibri"/>
          <w:sz w:val="22"/>
          <w:szCs w:val="22"/>
        </w:rPr>
      </w:pPr>
      <w:r w:rsidRPr="006269C2">
        <w:rPr>
          <w:rFonts w:ascii="Calibri" w:eastAsia="Calibri" w:hAnsi="Calibri"/>
          <w:sz w:val="22"/>
          <w:szCs w:val="22"/>
        </w:rPr>
        <w:t xml:space="preserve">No changes were identified to the status of commercial host liability in states between 1/1/2015 and 1/1/2021, though updates were made to the citations relied on for coding. </w:t>
      </w:r>
    </w:p>
    <w:p w14:paraId="1BFD8CFA" w14:textId="77777777" w:rsidR="007F5D67" w:rsidRDefault="007F5D67">
      <w:pPr>
        <w:rPr>
          <w:rFonts w:ascii="Calibri" w:eastAsia="Calibri" w:hAnsi="Calibri"/>
          <w:sz w:val="22"/>
          <w:szCs w:val="22"/>
        </w:rPr>
      </w:pPr>
      <w:r>
        <w:rPr>
          <w:rFonts w:ascii="Calibri" w:eastAsia="Calibri" w:hAnsi="Calibri"/>
          <w:sz w:val="22"/>
          <w:szCs w:val="22"/>
        </w:rPr>
        <w:br w:type="page"/>
      </w:r>
    </w:p>
    <w:p w14:paraId="5A785619" w14:textId="4C3803FB" w:rsidR="006269C2" w:rsidRPr="006269C2" w:rsidRDefault="006269C2" w:rsidP="006269C2">
      <w:pPr>
        <w:keepNext/>
        <w:spacing w:after="160" w:line="259" w:lineRule="auto"/>
        <w:rPr>
          <w:rFonts w:ascii="Calibri" w:eastAsia="Calibri" w:hAnsi="Calibri"/>
          <w:b/>
          <w:bCs/>
          <w:sz w:val="22"/>
          <w:szCs w:val="22"/>
        </w:rPr>
      </w:pPr>
      <w:r w:rsidRPr="006269C2">
        <w:rPr>
          <w:rFonts w:ascii="Calibri" w:eastAsia="Calibri" w:hAnsi="Calibri"/>
          <w:b/>
          <w:bCs/>
          <w:sz w:val="22"/>
          <w:szCs w:val="22"/>
        </w:rPr>
        <w:lastRenderedPageBreak/>
        <w:t>Coding and Citations</w:t>
      </w:r>
    </w:p>
    <w:tbl>
      <w:tblPr>
        <w:tblStyle w:val="TableGrid2"/>
        <w:tblW w:w="0" w:type="auto"/>
        <w:tblLook w:val="04A0" w:firstRow="1" w:lastRow="0" w:firstColumn="1" w:lastColumn="0" w:noHBand="0" w:noVBand="1"/>
      </w:tblPr>
      <w:tblGrid>
        <w:gridCol w:w="1541"/>
        <w:gridCol w:w="2864"/>
        <w:gridCol w:w="2610"/>
        <w:gridCol w:w="2335"/>
      </w:tblGrid>
      <w:tr w:rsidR="006269C2" w:rsidRPr="006269C2" w14:paraId="56D745BF" w14:textId="77777777" w:rsidTr="00FA27C5">
        <w:tc>
          <w:tcPr>
            <w:tcW w:w="1541" w:type="dxa"/>
          </w:tcPr>
          <w:p w14:paraId="558BF2DE" w14:textId="77777777" w:rsidR="006269C2" w:rsidRPr="006269C2" w:rsidRDefault="006269C2" w:rsidP="006269C2">
            <w:pPr>
              <w:rPr>
                <w:b/>
                <w:bCs/>
                <w:sz w:val="22"/>
                <w:szCs w:val="22"/>
              </w:rPr>
            </w:pPr>
            <w:r w:rsidRPr="006269C2">
              <w:rPr>
                <w:b/>
                <w:bCs/>
                <w:sz w:val="22"/>
                <w:szCs w:val="22"/>
              </w:rPr>
              <w:t>State</w:t>
            </w:r>
          </w:p>
        </w:tc>
        <w:tc>
          <w:tcPr>
            <w:tcW w:w="2864" w:type="dxa"/>
          </w:tcPr>
          <w:p w14:paraId="74F11D2A" w14:textId="77777777" w:rsidR="006269C2" w:rsidRPr="006269C2" w:rsidRDefault="006269C2" w:rsidP="006269C2">
            <w:pPr>
              <w:rPr>
                <w:b/>
                <w:bCs/>
                <w:sz w:val="22"/>
                <w:szCs w:val="22"/>
              </w:rPr>
            </w:pPr>
            <w:r w:rsidRPr="006269C2">
              <w:rPr>
                <w:b/>
                <w:bCs/>
                <w:sz w:val="22"/>
                <w:szCs w:val="22"/>
              </w:rPr>
              <w:t xml:space="preserve">Status of Commercial Host Liability </w:t>
            </w:r>
          </w:p>
        </w:tc>
        <w:tc>
          <w:tcPr>
            <w:tcW w:w="2610" w:type="dxa"/>
          </w:tcPr>
          <w:p w14:paraId="60F8D163" w14:textId="77777777" w:rsidR="006269C2" w:rsidRPr="006269C2" w:rsidRDefault="006269C2" w:rsidP="006269C2">
            <w:pPr>
              <w:rPr>
                <w:b/>
                <w:bCs/>
                <w:sz w:val="22"/>
                <w:szCs w:val="22"/>
              </w:rPr>
            </w:pPr>
            <w:r w:rsidRPr="006269C2">
              <w:rPr>
                <w:b/>
                <w:bCs/>
                <w:sz w:val="22"/>
                <w:szCs w:val="22"/>
              </w:rPr>
              <w:t>Citation(s) - Adults</w:t>
            </w:r>
          </w:p>
        </w:tc>
        <w:tc>
          <w:tcPr>
            <w:tcW w:w="2335" w:type="dxa"/>
          </w:tcPr>
          <w:p w14:paraId="4485A9FE" w14:textId="77777777" w:rsidR="006269C2" w:rsidRPr="006269C2" w:rsidRDefault="006269C2" w:rsidP="006269C2">
            <w:pPr>
              <w:rPr>
                <w:b/>
                <w:bCs/>
                <w:sz w:val="22"/>
                <w:szCs w:val="22"/>
              </w:rPr>
            </w:pPr>
            <w:r w:rsidRPr="006269C2">
              <w:rPr>
                <w:b/>
                <w:bCs/>
                <w:sz w:val="22"/>
                <w:szCs w:val="22"/>
              </w:rPr>
              <w:t>Citation(s) - Underage</w:t>
            </w:r>
          </w:p>
        </w:tc>
      </w:tr>
      <w:tr w:rsidR="006269C2" w:rsidRPr="006269C2" w14:paraId="34107EC6" w14:textId="77777777" w:rsidTr="00FA27C5">
        <w:trPr>
          <w:trHeight w:val="300"/>
        </w:trPr>
        <w:tc>
          <w:tcPr>
            <w:tcW w:w="1541" w:type="dxa"/>
            <w:noWrap/>
            <w:hideMark/>
          </w:tcPr>
          <w:p w14:paraId="1B9B8D60"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Alaska</w:t>
            </w:r>
          </w:p>
        </w:tc>
        <w:tc>
          <w:tcPr>
            <w:tcW w:w="2864" w:type="dxa"/>
          </w:tcPr>
          <w:p w14:paraId="398B5F50"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32D445D2" w14:textId="77777777" w:rsidR="006269C2" w:rsidRPr="006269C2" w:rsidRDefault="006269C2" w:rsidP="006269C2">
            <w:pPr>
              <w:rPr>
                <w:rFonts w:ascii="Verdana" w:hAnsi="Verdana"/>
                <w:sz w:val="16"/>
                <w:szCs w:val="16"/>
              </w:rPr>
            </w:pPr>
            <w:r w:rsidRPr="006269C2">
              <w:rPr>
                <w:rFonts w:ascii="Verdana" w:hAnsi="Verdana"/>
                <w:sz w:val="16"/>
                <w:szCs w:val="16"/>
              </w:rPr>
              <w:t xml:space="preserve">Alaska Stat. 04.16.030, 04.21.020(a), 04.21.080; Gonzales v. Safeway Stores, 882 P.2d 389 (Alaska 1994) </w:t>
            </w:r>
          </w:p>
          <w:p w14:paraId="14876741" w14:textId="77777777" w:rsidR="006269C2" w:rsidRPr="006269C2" w:rsidRDefault="006269C2" w:rsidP="006269C2">
            <w:pPr>
              <w:rPr>
                <w:rFonts w:ascii="Times New Roman" w:eastAsia="Times New Roman" w:hAnsi="Times New Roman"/>
                <w:sz w:val="20"/>
                <w:szCs w:val="20"/>
              </w:rPr>
            </w:pPr>
          </w:p>
        </w:tc>
        <w:tc>
          <w:tcPr>
            <w:tcW w:w="2335" w:type="dxa"/>
          </w:tcPr>
          <w:p w14:paraId="2990D38D" w14:textId="77777777" w:rsidR="006269C2" w:rsidRPr="006269C2" w:rsidRDefault="006269C2" w:rsidP="006269C2">
            <w:pPr>
              <w:rPr>
                <w:rFonts w:ascii="Verdana" w:hAnsi="Verdana"/>
                <w:sz w:val="16"/>
                <w:szCs w:val="16"/>
              </w:rPr>
            </w:pPr>
            <w:r w:rsidRPr="006269C2">
              <w:rPr>
                <w:rFonts w:ascii="Verdana" w:hAnsi="Verdana"/>
                <w:sz w:val="16"/>
                <w:szCs w:val="16"/>
              </w:rPr>
              <w:t>Alaska Stat. § 04.21.020; Gonzales v. Safeway Stores, 882 P.2d 389 (Alaska 1994).</w:t>
            </w:r>
          </w:p>
        </w:tc>
      </w:tr>
      <w:tr w:rsidR="006269C2" w:rsidRPr="006269C2" w14:paraId="4CBDD08B" w14:textId="77777777" w:rsidTr="00FA27C5">
        <w:trPr>
          <w:trHeight w:val="300"/>
        </w:trPr>
        <w:tc>
          <w:tcPr>
            <w:tcW w:w="1541" w:type="dxa"/>
            <w:noWrap/>
            <w:hideMark/>
          </w:tcPr>
          <w:p w14:paraId="77DC2E65"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Alabama</w:t>
            </w:r>
          </w:p>
        </w:tc>
        <w:tc>
          <w:tcPr>
            <w:tcW w:w="2864" w:type="dxa"/>
          </w:tcPr>
          <w:p w14:paraId="54ECC8EF"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1AE55690" w14:textId="77777777" w:rsidR="006269C2" w:rsidRPr="006269C2" w:rsidRDefault="006269C2" w:rsidP="006269C2">
            <w:pPr>
              <w:rPr>
                <w:rFonts w:ascii="Verdana" w:hAnsi="Verdana"/>
                <w:sz w:val="16"/>
                <w:szCs w:val="16"/>
              </w:rPr>
            </w:pPr>
            <w:r w:rsidRPr="006269C2">
              <w:rPr>
                <w:rFonts w:ascii="Verdana" w:hAnsi="Verdana"/>
                <w:sz w:val="16"/>
                <w:szCs w:val="16"/>
              </w:rPr>
              <w:t xml:space="preserve">Ala. Code 6-5-71; Jones v. BP Oil, 632 So. 2d 435 (1993) </w:t>
            </w:r>
          </w:p>
          <w:p w14:paraId="6B368EB4" w14:textId="77777777" w:rsidR="006269C2" w:rsidRPr="006269C2" w:rsidRDefault="006269C2" w:rsidP="006269C2">
            <w:pPr>
              <w:rPr>
                <w:rFonts w:ascii="Times New Roman" w:eastAsia="Times New Roman" w:hAnsi="Times New Roman"/>
                <w:sz w:val="20"/>
                <w:szCs w:val="20"/>
              </w:rPr>
            </w:pPr>
          </w:p>
        </w:tc>
        <w:tc>
          <w:tcPr>
            <w:tcW w:w="2335" w:type="dxa"/>
          </w:tcPr>
          <w:p w14:paraId="270D78AB"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Ala. Code § 6-5-71; Jones v. BP Oil Co, Inc., 632 So. 2d 435 (Ala. 1993). </w:t>
            </w:r>
          </w:p>
          <w:p w14:paraId="4ADAF38A" w14:textId="77777777" w:rsidR="006269C2" w:rsidRPr="006269C2" w:rsidRDefault="006269C2" w:rsidP="006269C2">
            <w:pPr>
              <w:rPr>
                <w:rFonts w:ascii="Verdana" w:hAnsi="Verdana"/>
                <w:sz w:val="16"/>
                <w:szCs w:val="16"/>
              </w:rPr>
            </w:pPr>
          </w:p>
        </w:tc>
      </w:tr>
      <w:tr w:rsidR="006269C2" w:rsidRPr="006269C2" w14:paraId="3E2A2E38" w14:textId="77777777" w:rsidTr="00FA27C5">
        <w:trPr>
          <w:trHeight w:val="300"/>
        </w:trPr>
        <w:tc>
          <w:tcPr>
            <w:tcW w:w="1541" w:type="dxa"/>
            <w:noWrap/>
            <w:hideMark/>
          </w:tcPr>
          <w:p w14:paraId="28F6556A"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Arkansas</w:t>
            </w:r>
          </w:p>
        </w:tc>
        <w:tc>
          <w:tcPr>
            <w:tcW w:w="2864" w:type="dxa"/>
          </w:tcPr>
          <w:p w14:paraId="0D379316"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281262B9" w14:textId="77777777" w:rsidR="006269C2" w:rsidRPr="006269C2" w:rsidRDefault="006269C2" w:rsidP="006269C2">
            <w:pPr>
              <w:rPr>
                <w:rFonts w:ascii="Verdana" w:hAnsi="Verdana"/>
                <w:sz w:val="16"/>
                <w:szCs w:val="16"/>
              </w:rPr>
            </w:pPr>
            <w:r w:rsidRPr="006269C2">
              <w:rPr>
                <w:rFonts w:ascii="Verdana" w:hAnsi="Verdana"/>
                <w:sz w:val="16"/>
                <w:szCs w:val="16"/>
              </w:rPr>
              <w:t>Ark. Code 16-126-104, 16-126-105; Sluder v. Steak &amp; Ale of Little Rock, 206 S.W.3d 213 (Ark. 2005)</w:t>
            </w:r>
          </w:p>
          <w:p w14:paraId="646221BB" w14:textId="77777777" w:rsidR="006269C2" w:rsidRPr="006269C2" w:rsidRDefault="006269C2" w:rsidP="006269C2">
            <w:pPr>
              <w:rPr>
                <w:rFonts w:ascii="Times New Roman" w:eastAsia="Times New Roman" w:hAnsi="Times New Roman"/>
                <w:sz w:val="20"/>
                <w:szCs w:val="20"/>
              </w:rPr>
            </w:pPr>
          </w:p>
        </w:tc>
        <w:tc>
          <w:tcPr>
            <w:tcW w:w="2335" w:type="dxa"/>
          </w:tcPr>
          <w:p w14:paraId="23B4EA90"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Ark. Code § 16-126-103; Ark. Code § 16-126-104; Ark. Code § 16-126-105; Cadillac Cowboy, Inc. v. Jackson, 69 S.W. 3d 383 (Ark. 2002).</w:t>
            </w:r>
          </w:p>
          <w:p w14:paraId="6E9751CE" w14:textId="77777777" w:rsidR="006269C2" w:rsidRPr="006269C2" w:rsidRDefault="006269C2" w:rsidP="006269C2">
            <w:pPr>
              <w:rPr>
                <w:rFonts w:ascii="Verdana" w:hAnsi="Verdana"/>
                <w:sz w:val="16"/>
                <w:szCs w:val="16"/>
              </w:rPr>
            </w:pPr>
          </w:p>
        </w:tc>
      </w:tr>
      <w:tr w:rsidR="006269C2" w:rsidRPr="006269C2" w14:paraId="689568FC" w14:textId="77777777" w:rsidTr="00FA27C5">
        <w:trPr>
          <w:trHeight w:val="300"/>
        </w:trPr>
        <w:tc>
          <w:tcPr>
            <w:tcW w:w="1541" w:type="dxa"/>
            <w:noWrap/>
            <w:hideMark/>
          </w:tcPr>
          <w:p w14:paraId="733BE0D9"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Arizona</w:t>
            </w:r>
          </w:p>
        </w:tc>
        <w:tc>
          <w:tcPr>
            <w:tcW w:w="2864" w:type="dxa"/>
          </w:tcPr>
          <w:p w14:paraId="5B2DE21C"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0A4840FD" w14:textId="77777777" w:rsidR="006269C2" w:rsidRPr="006269C2" w:rsidRDefault="006269C2" w:rsidP="006269C2">
            <w:pPr>
              <w:rPr>
                <w:rFonts w:ascii="Verdana" w:hAnsi="Verdana"/>
                <w:sz w:val="16"/>
                <w:szCs w:val="16"/>
              </w:rPr>
            </w:pPr>
            <w:r w:rsidRPr="006269C2">
              <w:rPr>
                <w:rFonts w:ascii="Verdana" w:hAnsi="Verdana"/>
                <w:sz w:val="16"/>
                <w:szCs w:val="16"/>
              </w:rPr>
              <w:t>Ariz. Rev. Stat. 4-311, 4-312; Ontiveros v. Borak, 667 P.2d 200 (Ariz. 1983); Young v. DFW, 908 P.2d 1 (Ariz. Ct. App. 1995)</w:t>
            </w:r>
          </w:p>
          <w:p w14:paraId="10F1E435" w14:textId="77777777" w:rsidR="006269C2" w:rsidRPr="006269C2" w:rsidRDefault="006269C2" w:rsidP="006269C2">
            <w:pPr>
              <w:rPr>
                <w:rFonts w:ascii="Times New Roman" w:eastAsia="Times New Roman" w:hAnsi="Times New Roman"/>
                <w:sz w:val="20"/>
                <w:szCs w:val="20"/>
              </w:rPr>
            </w:pPr>
          </w:p>
        </w:tc>
        <w:tc>
          <w:tcPr>
            <w:tcW w:w="2335" w:type="dxa"/>
          </w:tcPr>
          <w:p w14:paraId="2ACC84DF"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Ariz. Rev. Stat. § 4-311; Schwab v. Matley, 793 P.2d 1088 (Ariz. 1990); Young v. DFW Corp., 908 P.2d 1 (Ariz. Ct. App. 1995). </w:t>
            </w:r>
          </w:p>
          <w:p w14:paraId="03121AA9" w14:textId="77777777" w:rsidR="006269C2" w:rsidRPr="006269C2" w:rsidRDefault="006269C2" w:rsidP="006269C2">
            <w:pPr>
              <w:rPr>
                <w:rFonts w:ascii="Verdana" w:hAnsi="Verdana"/>
                <w:sz w:val="16"/>
                <w:szCs w:val="16"/>
              </w:rPr>
            </w:pPr>
          </w:p>
        </w:tc>
      </w:tr>
      <w:tr w:rsidR="006269C2" w:rsidRPr="006269C2" w14:paraId="5EA6F147" w14:textId="77777777" w:rsidTr="00FA27C5">
        <w:trPr>
          <w:trHeight w:val="300"/>
        </w:trPr>
        <w:tc>
          <w:tcPr>
            <w:tcW w:w="1541" w:type="dxa"/>
            <w:noWrap/>
            <w:hideMark/>
          </w:tcPr>
          <w:p w14:paraId="46E9701A"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California</w:t>
            </w:r>
          </w:p>
        </w:tc>
        <w:tc>
          <w:tcPr>
            <w:tcW w:w="2864" w:type="dxa"/>
          </w:tcPr>
          <w:p w14:paraId="047E7D26"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0393DD45" w14:textId="77777777" w:rsidR="006269C2" w:rsidRPr="006269C2" w:rsidRDefault="006269C2" w:rsidP="006269C2">
            <w:pPr>
              <w:rPr>
                <w:rFonts w:ascii="Verdana" w:hAnsi="Verdana"/>
                <w:sz w:val="16"/>
                <w:szCs w:val="16"/>
              </w:rPr>
            </w:pPr>
            <w:r w:rsidRPr="006269C2">
              <w:rPr>
                <w:rFonts w:ascii="Verdana" w:hAnsi="Verdana"/>
                <w:sz w:val="16"/>
                <w:szCs w:val="16"/>
              </w:rPr>
              <w:t xml:space="preserve">Cal. Bus. &amp; Prof. Code 25602; Cory v. </w:t>
            </w:r>
            <w:proofErr w:type="spellStart"/>
            <w:r w:rsidRPr="006269C2">
              <w:rPr>
                <w:rFonts w:ascii="Verdana" w:hAnsi="Verdana"/>
                <w:sz w:val="16"/>
                <w:szCs w:val="16"/>
              </w:rPr>
              <w:t>Shierloh</w:t>
            </w:r>
            <w:proofErr w:type="spellEnd"/>
            <w:r w:rsidRPr="006269C2">
              <w:rPr>
                <w:rFonts w:ascii="Verdana" w:hAnsi="Verdana"/>
                <w:sz w:val="16"/>
                <w:szCs w:val="16"/>
              </w:rPr>
              <w:t xml:space="preserve">, 629 P.2d 8 (Cal. 1981) </w:t>
            </w:r>
          </w:p>
          <w:p w14:paraId="5A9C57F6" w14:textId="77777777" w:rsidR="006269C2" w:rsidRPr="006269C2" w:rsidRDefault="006269C2" w:rsidP="006269C2">
            <w:pPr>
              <w:rPr>
                <w:rFonts w:ascii="Times New Roman" w:eastAsia="Times New Roman" w:hAnsi="Times New Roman"/>
                <w:sz w:val="20"/>
                <w:szCs w:val="20"/>
              </w:rPr>
            </w:pPr>
          </w:p>
        </w:tc>
        <w:tc>
          <w:tcPr>
            <w:tcW w:w="2335" w:type="dxa"/>
          </w:tcPr>
          <w:p w14:paraId="3AE7658A"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Cal. Bus. &amp; Prof. Code § 25602.1; Strang v. Cabrol, 691 P.2d 1013 (Cal. 1984). </w:t>
            </w:r>
          </w:p>
          <w:p w14:paraId="5A2F2B8F" w14:textId="77777777" w:rsidR="006269C2" w:rsidRPr="006269C2" w:rsidRDefault="006269C2" w:rsidP="006269C2">
            <w:pPr>
              <w:rPr>
                <w:rFonts w:ascii="Verdana" w:hAnsi="Verdana"/>
                <w:sz w:val="16"/>
                <w:szCs w:val="16"/>
              </w:rPr>
            </w:pPr>
          </w:p>
        </w:tc>
      </w:tr>
      <w:tr w:rsidR="006269C2" w:rsidRPr="006269C2" w14:paraId="6A6C0335" w14:textId="77777777" w:rsidTr="00FA27C5">
        <w:trPr>
          <w:trHeight w:val="300"/>
        </w:trPr>
        <w:tc>
          <w:tcPr>
            <w:tcW w:w="1541" w:type="dxa"/>
            <w:noWrap/>
            <w:hideMark/>
          </w:tcPr>
          <w:p w14:paraId="458312F3"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Colorado</w:t>
            </w:r>
          </w:p>
        </w:tc>
        <w:tc>
          <w:tcPr>
            <w:tcW w:w="2864" w:type="dxa"/>
          </w:tcPr>
          <w:p w14:paraId="507ACC2B"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11F769F0" w14:textId="77777777" w:rsidR="006269C2" w:rsidRPr="006269C2" w:rsidRDefault="006269C2" w:rsidP="006269C2">
            <w:pPr>
              <w:rPr>
                <w:rFonts w:ascii="Verdana" w:hAnsi="Verdana"/>
                <w:sz w:val="16"/>
                <w:szCs w:val="16"/>
              </w:rPr>
            </w:pPr>
            <w:r w:rsidRPr="006269C2">
              <w:rPr>
                <w:rFonts w:ascii="Verdana" w:hAnsi="Verdana"/>
                <w:sz w:val="16"/>
                <w:szCs w:val="16"/>
              </w:rPr>
              <w:t xml:space="preserve">Colo. Rev. Stat. 44-3-801; Strauch v. Build It &amp; They Will Drink, Inc., 226 P.3d 1235, 1238-1239 (Colo. Ct. App. 2009), aff’d, 253 P.3d 302 (Colo. 2011). </w:t>
            </w:r>
          </w:p>
          <w:p w14:paraId="5BA7C745" w14:textId="77777777" w:rsidR="006269C2" w:rsidRPr="006269C2" w:rsidRDefault="006269C2" w:rsidP="006269C2">
            <w:pPr>
              <w:rPr>
                <w:rFonts w:ascii="Times New Roman" w:eastAsia="Times New Roman" w:hAnsi="Times New Roman"/>
                <w:sz w:val="20"/>
                <w:szCs w:val="20"/>
              </w:rPr>
            </w:pPr>
          </w:p>
        </w:tc>
        <w:tc>
          <w:tcPr>
            <w:tcW w:w="2335" w:type="dxa"/>
          </w:tcPr>
          <w:p w14:paraId="4E948CEA"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Colo. Rev. Stat. § 44-3-801; Sigman v. Seafood Ltd. </w:t>
            </w:r>
            <w:proofErr w:type="spellStart"/>
            <w:r w:rsidRPr="006269C2">
              <w:rPr>
                <w:rFonts w:ascii="Verdana" w:hAnsi="Verdana" w:cs="Calibri"/>
                <w:color w:val="000000"/>
                <w:sz w:val="16"/>
                <w:szCs w:val="16"/>
              </w:rPr>
              <w:t>P’ship</w:t>
            </w:r>
            <w:proofErr w:type="spellEnd"/>
            <w:r w:rsidRPr="006269C2">
              <w:rPr>
                <w:rFonts w:ascii="Verdana" w:hAnsi="Verdana" w:cs="Calibri"/>
                <w:color w:val="000000"/>
                <w:sz w:val="16"/>
                <w:szCs w:val="16"/>
              </w:rPr>
              <w:t>, 817 P.2d 527 (Colo. 1991); Dickman v. Jackalope, Inc., 870 P.2d 1261 (Colo. Ct. App. 1994).</w:t>
            </w:r>
          </w:p>
          <w:p w14:paraId="33EEC799" w14:textId="77777777" w:rsidR="006269C2" w:rsidRPr="006269C2" w:rsidRDefault="006269C2" w:rsidP="006269C2">
            <w:pPr>
              <w:rPr>
                <w:rFonts w:ascii="Verdana" w:hAnsi="Verdana"/>
                <w:sz w:val="16"/>
                <w:szCs w:val="16"/>
              </w:rPr>
            </w:pPr>
          </w:p>
        </w:tc>
      </w:tr>
      <w:tr w:rsidR="006269C2" w:rsidRPr="006269C2" w14:paraId="6B0EE4DF" w14:textId="77777777" w:rsidTr="00FA27C5">
        <w:trPr>
          <w:trHeight w:val="300"/>
        </w:trPr>
        <w:tc>
          <w:tcPr>
            <w:tcW w:w="1541" w:type="dxa"/>
            <w:noWrap/>
            <w:hideMark/>
          </w:tcPr>
          <w:p w14:paraId="4CC40529"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Connecticut</w:t>
            </w:r>
          </w:p>
        </w:tc>
        <w:tc>
          <w:tcPr>
            <w:tcW w:w="2864" w:type="dxa"/>
          </w:tcPr>
          <w:p w14:paraId="1706C7DE"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7A2E5E8B" w14:textId="77777777" w:rsidR="006269C2" w:rsidRPr="006269C2" w:rsidRDefault="006269C2" w:rsidP="006269C2">
            <w:pPr>
              <w:rPr>
                <w:rFonts w:ascii="Verdana" w:hAnsi="Verdana"/>
                <w:sz w:val="16"/>
                <w:szCs w:val="16"/>
              </w:rPr>
            </w:pPr>
            <w:r w:rsidRPr="006269C2">
              <w:rPr>
                <w:rFonts w:ascii="Verdana" w:hAnsi="Verdana"/>
                <w:sz w:val="16"/>
                <w:szCs w:val="16"/>
              </w:rPr>
              <w:t>Conn. Gen. Stat. 30-102; Demond v. Project Serv., LLC, 331 Conn. 816 (2019</w:t>
            </w:r>
            <w:proofErr w:type="gramStart"/>
            <w:r w:rsidRPr="006269C2">
              <w:rPr>
                <w:rFonts w:ascii="Verdana" w:hAnsi="Verdana"/>
                <w:sz w:val="16"/>
                <w:szCs w:val="16"/>
              </w:rPr>
              <w:t>);  Hayes</w:t>
            </w:r>
            <w:proofErr w:type="gramEnd"/>
            <w:r w:rsidRPr="006269C2">
              <w:rPr>
                <w:rFonts w:ascii="Verdana" w:hAnsi="Verdana"/>
                <w:sz w:val="16"/>
                <w:szCs w:val="16"/>
              </w:rPr>
              <w:t xml:space="preserve"> v. Caspers, 881 A.2d 428 (Conn. App. Ct.), appeal denied, 276 Conn. 915 (2005).</w:t>
            </w:r>
          </w:p>
          <w:p w14:paraId="5FEE04F6" w14:textId="77777777" w:rsidR="006269C2" w:rsidRPr="006269C2" w:rsidRDefault="006269C2" w:rsidP="006269C2">
            <w:pPr>
              <w:rPr>
                <w:rFonts w:ascii="Times New Roman" w:eastAsia="Times New Roman" w:hAnsi="Times New Roman"/>
                <w:sz w:val="20"/>
                <w:szCs w:val="20"/>
              </w:rPr>
            </w:pPr>
          </w:p>
        </w:tc>
        <w:tc>
          <w:tcPr>
            <w:tcW w:w="2335" w:type="dxa"/>
          </w:tcPr>
          <w:p w14:paraId="494144FB"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Conn. Gen. Stat. § 30-102; Bohan v. Last, 674 A. 2d 839 (Conn. 1996); Ely v. Murphy, 540 A.2d 54 (Conn. 1988); Hayes v. Caspers, 881 A.2d 428 (Conn. Ct. App.), app. denied, 276 Conn. 915 (2005); Davenport v. Quinn, 730 A.2d 1184 (Conn. Appt. Ct. 1999).</w:t>
            </w:r>
          </w:p>
          <w:p w14:paraId="6800356F" w14:textId="77777777" w:rsidR="006269C2" w:rsidRPr="006269C2" w:rsidRDefault="006269C2" w:rsidP="006269C2">
            <w:pPr>
              <w:rPr>
                <w:rFonts w:ascii="Verdana" w:hAnsi="Verdana"/>
                <w:sz w:val="16"/>
                <w:szCs w:val="16"/>
              </w:rPr>
            </w:pPr>
          </w:p>
        </w:tc>
      </w:tr>
      <w:tr w:rsidR="006269C2" w:rsidRPr="006269C2" w14:paraId="63F9A92B" w14:textId="77777777" w:rsidTr="00FA27C5">
        <w:trPr>
          <w:trHeight w:val="300"/>
        </w:trPr>
        <w:tc>
          <w:tcPr>
            <w:tcW w:w="1541" w:type="dxa"/>
            <w:noWrap/>
            <w:hideMark/>
          </w:tcPr>
          <w:p w14:paraId="356F4163"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lastRenderedPageBreak/>
              <w:t>District of Columbia</w:t>
            </w:r>
          </w:p>
        </w:tc>
        <w:tc>
          <w:tcPr>
            <w:tcW w:w="2864" w:type="dxa"/>
          </w:tcPr>
          <w:p w14:paraId="082C4EE8"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26DBC8E3" w14:textId="77777777" w:rsidR="006269C2" w:rsidRPr="006269C2" w:rsidRDefault="006269C2" w:rsidP="006269C2">
            <w:pPr>
              <w:rPr>
                <w:rFonts w:ascii="Verdana" w:hAnsi="Verdana"/>
                <w:sz w:val="16"/>
                <w:szCs w:val="16"/>
              </w:rPr>
            </w:pPr>
            <w:r w:rsidRPr="006269C2">
              <w:rPr>
                <w:rFonts w:ascii="Verdana" w:hAnsi="Verdana"/>
                <w:sz w:val="16"/>
                <w:szCs w:val="16"/>
              </w:rPr>
              <w:t>Jarrett v. Woodward Bros., 751 A.2d 972 (D.C. 2000).</w:t>
            </w:r>
          </w:p>
          <w:p w14:paraId="58B6858E" w14:textId="77777777" w:rsidR="006269C2" w:rsidRPr="006269C2" w:rsidRDefault="006269C2" w:rsidP="006269C2">
            <w:pPr>
              <w:rPr>
                <w:rFonts w:ascii="Times New Roman" w:eastAsia="Times New Roman" w:hAnsi="Times New Roman"/>
                <w:sz w:val="20"/>
                <w:szCs w:val="20"/>
              </w:rPr>
            </w:pPr>
          </w:p>
        </w:tc>
        <w:tc>
          <w:tcPr>
            <w:tcW w:w="2335" w:type="dxa"/>
          </w:tcPr>
          <w:p w14:paraId="6D2E714C"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Rong Yao Zhou v. Jennifer Mall Restaurant, Inc., 534 A.2d 1268 (D.C.1987). </w:t>
            </w:r>
          </w:p>
          <w:p w14:paraId="29BD7336" w14:textId="77777777" w:rsidR="006269C2" w:rsidRPr="006269C2" w:rsidRDefault="006269C2" w:rsidP="006269C2">
            <w:pPr>
              <w:rPr>
                <w:rFonts w:ascii="Verdana" w:hAnsi="Verdana"/>
                <w:sz w:val="16"/>
                <w:szCs w:val="16"/>
              </w:rPr>
            </w:pPr>
          </w:p>
        </w:tc>
      </w:tr>
      <w:tr w:rsidR="006269C2" w:rsidRPr="006269C2" w14:paraId="4AFB750F" w14:textId="77777777" w:rsidTr="00FA27C5">
        <w:trPr>
          <w:trHeight w:val="300"/>
        </w:trPr>
        <w:tc>
          <w:tcPr>
            <w:tcW w:w="1541" w:type="dxa"/>
            <w:noWrap/>
            <w:hideMark/>
          </w:tcPr>
          <w:p w14:paraId="7BDBCC8E"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Delaware</w:t>
            </w:r>
          </w:p>
        </w:tc>
        <w:tc>
          <w:tcPr>
            <w:tcW w:w="2864" w:type="dxa"/>
          </w:tcPr>
          <w:p w14:paraId="3A43600B"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no commercial host liability</w:t>
            </w:r>
          </w:p>
        </w:tc>
        <w:tc>
          <w:tcPr>
            <w:tcW w:w="2610" w:type="dxa"/>
          </w:tcPr>
          <w:p w14:paraId="45C85499" w14:textId="77777777" w:rsidR="006269C2" w:rsidRPr="006269C2" w:rsidRDefault="006269C2" w:rsidP="006269C2">
            <w:pPr>
              <w:rPr>
                <w:rFonts w:ascii="Verdana" w:hAnsi="Verdana"/>
                <w:sz w:val="16"/>
                <w:szCs w:val="16"/>
              </w:rPr>
            </w:pPr>
            <w:r w:rsidRPr="006269C2">
              <w:rPr>
                <w:rFonts w:ascii="Verdana" w:hAnsi="Verdana"/>
                <w:sz w:val="16"/>
                <w:szCs w:val="16"/>
              </w:rPr>
              <w:t>Acker v. Cantinas, 586 A.2d 1178 (Del. 1991)</w:t>
            </w:r>
          </w:p>
          <w:p w14:paraId="316239D0" w14:textId="77777777" w:rsidR="006269C2" w:rsidRPr="006269C2" w:rsidRDefault="006269C2" w:rsidP="006269C2">
            <w:pPr>
              <w:rPr>
                <w:rFonts w:ascii="Times New Roman" w:eastAsia="Times New Roman" w:hAnsi="Times New Roman"/>
                <w:sz w:val="20"/>
                <w:szCs w:val="20"/>
              </w:rPr>
            </w:pPr>
          </w:p>
        </w:tc>
        <w:tc>
          <w:tcPr>
            <w:tcW w:w="2335" w:type="dxa"/>
          </w:tcPr>
          <w:p w14:paraId="2050BE4D"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McCall v. Villa Pizza Inc., 636 A.2d 912 (Del. 1994); Acker v. S.W. Cantinas, Inc., 586 A.2d 1178 (Del. 1991). </w:t>
            </w:r>
          </w:p>
          <w:p w14:paraId="54A14C5D" w14:textId="77777777" w:rsidR="006269C2" w:rsidRPr="006269C2" w:rsidRDefault="006269C2" w:rsidP="006269C2">
            <w:pPr>
              <w:rPr>
                <w:rFonts w:ascii="Verdana" w:hAnsi="Verdana"/>
                <w:sz w:val="16"/>
                <w:szCs w:val="16"/>
              </w:rPr>
            </w:pPr>
          </w:p>
        </w:tc>
      </w:tr>
      <w:tr w:rsidR="006269C2" w:rsidRPr="006269C2" w14:paraId="7221AA18" w14:textId="77777777" w:rsidTr="00FA27C5">
        <w:trPr>
          <w:trHeight w:val="300"/>
        </w:trPr>
        <w:tc>
          <w:tcPr>
            <w:tcW w:w="1541" w:type="dxa"/>
            <w:noWrap/>
            <w:hideMark/>
          </w:tcPr>
          <w:p w14:paraId="2BC6A228"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Florida</w:t>
            </w:r>
          </w:p>
        </w:tc>
        <w:tc>
          <w:tcPr>
            <w:tcW w:w="2864" w:type="dxa"/>
          </w:tcPr>
          <w:p w14:paraId="7E47ACF9"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1EC3C17F" w14:textId="77777777" w:rsidR="006269C2" w:rsidRPr="006269C2" w:rsidRDefault="006269C2" w:rsidP="006269C2">
            <w:pPr>
              <w:rPr>
                <w:rFonts w:ascii="Verdana" w:hAnsi="Verdana"/>
                <w:sz w:val="16"/>
                <w:szCs w:val="16"/>
              </w:rPr>
            </w:pPr>
            <w:r w:rsidRPr="006269C2">
              <w:rPr>
                <w:rFonts w:ascii="Verdana" w:hAnsi="Verdana"/>
                <w:sz w:val="16"/>
                <w:szCs w:val="16"/>
              </w:rPr>
              <w:t>Fla. Stat. 768.125; Persen v. Southland Corp., 656 So. 2d 453 (Fla. 1995).</w:t>
            </w:r>
          </w:p>
          <w:p w14:paraId="56E2F47C" w14:textId="77777777" w:rsidR="006269C2" w:rsidRPr="006269C2" w:rsidRDefault="006269C2" w:rsidP="006269C2">
            <w:pPr>
              <w:rPr>
                <w:rFonts w:ascii="Times New Roman" w:eastAsia="Times New Roman" w:hAnsi="Times New Roman"/>
                <w:sz w:val="20"/>
                <w:szCs w:val="20"/>
              </w:rPr>
            </w:pPr>
          </w:p>
        </w:tc>
        <w:tc>
          <w:tcPr>
            <w:tcW w:w="2335" w:type="dxa"/>
          </w:tcPr>
          <w:p w14:paraId="5BCA2099"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Fla. Stat. § 562.11; Fla. Stat. § 768.125; Tobias v. Osorio, 681 So. 2d 905 (Fla. Dist. Ct. App. 1996).</w:t>
            </w:r>
          </w:p>
          <w:p w14:paraId="74516878" w14:textId="77777777" w:rsidR="006269C2" w:rsidRPr="006269C2" w:rsidRDefault="006269C2" w:rsidP="006269C2">
            <w:pPr>
              <w:rPr>
                <w:rFonts w:ascii="Verdana" w:hAnsi="Verdana"/>
                <w:sz w:val="16"/>
                <w:szCs w:val="16"/>
              </w:rPr>
            </w:pPr>
          </w:p>
        </w:tc>
      </w:tr>
      <w:tr w:rsidR="006269C2" w:rsidRPr="006269C2" w14:paraId="58D00D2F" w14:textId="77777777" w:rsidTr="00FA27C5">
        <w:trPr>
          <w:trHeight w:val="300"/>
        </w:trPr>
        <w:tc>
          <w:tcPr>
            <w:tcW w:w="1541" w:type="dxa"/>
            <w:noWrap/>
            <w:hideMark/>
          </w:tcPr>
          <w:p w14:paraId="10874725"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Georgia</w:t>
            </w:r>
          </w:p>
        </w:tc>
        <w:tc>
          <w:tcPr>
            <w:tcW w:w="2864" w:type="dxa"/>
          </w:tcPr>
          <w:p w14:paraId="30C103A0"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77B4D8E7" w14:textId="77777777" w:rsidR="006269C2" w:rsidRPr="006269C2" w:rsidRDefault="006269C2" w:rsidP="006269C2">
            <w:pPr>
              <w:rPr>
                <w:rFonts w:ascii="Verdana" w:hAnsi="Verdana"/>
                <w:sz w:val="16"/>
                <w:szCs w:val="16"/>
              </w:rPr>
            </w:pPr>
            <w:r w:rsidRPr="006269C2">
              <w:rPr>
                <w:rFonts w:ascii="Verdana" w:hAnsi="Verdana"/>
                <w:sz w:val="16"/>
                <w:szCs w:val="16"/>
              </w:rPr>
              <w:t>Ga. Code 51-1-40(b); Hulsey v. Northside Equities, 548 S.E.2d 41, 44-45 (Ga. Ct. App. 2001), reconsideration denied (May 4, 2001), cert. granted and aff'd, 567 S.E.2d 4 (Ga. 2002)</w:t>
            </w:r>
            <w:r w:rsidRPr="006269C2">
              <w:rPr>
                <w:rFonts w:ascii="Verdana" w:hAnsi="Verdana"/>
                <w:color w:val="FF0000"/>
                <w:sz w:val="16"/>
                <w:szCs w:val="16"/>
              </w:rPr>
              <w:t xml:space="preserve"> </w:t>
            </w:r>
          </w:p>
          <w:p w14:paraId="6FF21691" w14:textId="77777777" w:rsidR="006269C2" w:rsidRPr="006269C2" w:rsidRDefault="006269C2" w:rsidP="006269C2">
            <w:pPr>
              <w:rPr>
                <w:rFonts w:ascii="Times New Roman" w:eastAsia="Times New Roman" w:hAnsi="Times New Roman"/>
                <w:sz w:val="20"/>
                <w:szCs w:val="20"/>
              </w:rPr>
            </w:pPr>
          </w:p>
        </w:tc>
        <w:tc>
          <w:tcPr>
            <w:tcW w:w="2335" w:type="dxa"/>
          </w:tcPr>
          <w:p w14:paraId="3558B43C"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Ga. Code Ann. § 51-1-40; Flores v. </w:t>
            </w:r>
            <w:proofErr w:type="spellStart"/>
            <w:r w:rsidRPr="006269C2">
              <w:rPr>
                <w:rFonts w:ascii="Verdana" w:hAnsi="Verdana" w:cs="Calibri"/>
                <w:color w:val="000000"/>
                <w:sz w:val="16"/>
                <w:szCs w:val="16"/>
              </w:rPr>
              <w:t>Exprezit</w:t>
            </w:r>
            <w:proofErr w:type="spellEnd"/>
            <w:r w:rsidRPr="006269C2">
              <w:rPr>
                <w:rFonts w:ascii="Verdana" w:hAnsi="Verdana" w:cs="Calibri"/>
                <w:color w:val="000000"/>
                <w:sz w:val="16"/>
                <w:szCs w:val="16"/>
              </w:rPr>
              <w:t xml:space="preserve">! Stores, 713 S.E.2d 368 (2011); Hulsey v. Northside Equities, Inc., 548 S.E.2d 41 (Ga. Ct. App. 2001), aff'd, 567 S.E.2d 4 (Ga. 2002). </w:t>
            </w:r>
          </w:p>
          <w:p w14:paraId="27072981" w14:textId="77777777" w:rsidR="006269C2" w:rsidRPr="006269C2" w:rsidRDefault="006269C2" w:rsidP="006269C2">
            <w:pPr>
              <w:rPr>
                <w:rFonts w:ascii="Verdana" w:hAnsi="Verdana"/>
                <w:sz w:val="16"/>
                <w:szCs w:val="16"/>
              </w:rPr>
            </w:pPr>
          </w:p>
        </w:tc>
      </w:tr>
      <w:tr w:rsidR="006269C2" w:rsidRPr="006269C2" w14:paraId="080EE311" w14:textId="77777777" w:rsidTr="00FA27C5">
        <w:trPr>
          <w:trHeight w:val="300"/>
        </w:trPr>
        <w:tc>
          <w:tcPr>
            <w:tcW w:w="1541" w:type="dxa"/>
            <w:noWrap/>
            <w:hideMark/>
          </w:tcPr>
          <w:p w14:paraId="40969D50"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Hawaii</w:t>
            </w:r>
          </w:p>
        </w:tc>
        <w:tc>
          <w:tcPr>
            <w:tcW w:w="2864" w:type="dxa"/>
          </w:tcPr>
          <w:p w14:paraId="6D1DECB6"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300EFC7A" w14:textId="77777777" w:rsidR="006269C2" w:rsidRPr="006269C2" w:rsidRDefault="006269C2" w:rsidP="006269C2">
            <w:pPr>
              <w:rPr>
                <w:rFonts w:ascii="Verdana" w:hAnsi="Verdana"/>
                <w:sz w:val="16"/>
                <w:szCs w:val="16"/>
              </w:rPr>
            </w:pPr>
            <w:r w:rsidRPr="006269C2">
              <w:rPr>
                <w:rFonts w:ascii="Verdana" w:hAnsi="Verdana"/>
                <w:sz w:val="16"/>
                <w:szCs w:val="16"/>
              </w:rPr>
              <w:t xml:space="preserve">Ono v. Applegate, 612 P.2d 533 (Haw. 1980)  </w:t>
            </w:r>
          </w:p>
          <w:p w14:paraId="49F89F9F" w14:textId="77777777" w:rsidR="006269C2" w:rsidRPr="006269C2" w:rsidRDefault="006269C2" w:rsidP="006269C2">
            <w:pPr>
              <w:rPr>
                <w:rFonts w:ascii="Times New Roman" w:eastAsia="Times New Roman" w:hAnsi="Times New Roman"/>
                <w:sz w:val="20"/>
                <w:szCs w:val="20"/>
              </w:rPr>
            </w:pPr>
          </w:p>
        </w:tc>
        <w:tc>
          <w:tcPr>
            <w:tcW w:w="2335" w:type="dxa"/>
          </w:tcPr>
          <w:p w14:paraId="621085A7"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Haw. Rev. Stat. § 281-78; Reyes v. Kuboyama, 870 P.2d 1281 (Haw.1994); Ono v. Applegate, 612 P. 2d 533 (Haw. 1980).</w:t>
            </w:r>
          </w:p>
          <w:p w14:paraId="2EE45147" w14:textId="77777777" w:rsidR="006269C2" w:rsidRPr="006269C2" w:rsidRDefault="006269C2" w:rsidP="006269C2">
            <w:pPr>
              <w:rPr>
                <w:rFonts w:ascii="Verdana" w:hAnsi="Verdana"/>
                <w:sz w:val="16"/>
                <w:szCs w:val="16"/>
              </w:rPr>
            </w:pPr>
          </w:p>
        </w:tc>
      </w:tr>
      <w:tr w:rsidR="006269C2" w:rsidRPr="006269C2" w14:paraId="43651155" w14:textId="77777777" w:rsidTr="00FA27C5">
        <w:trPr>
          <w:trHeight w:val="300"/>
        </w:trPr>
        <w:tc>
          <w:tcPr>
            <w:tcW w:w="1541" w:type="dxa"/>
            <w:noWrap/>
            <w:hideMark/>
          </w:tcPr>
          <w:p w14:paraId="3E29C796"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Iowa</w:t>
            </w:r>
          </w:p>
        </w:tc>
        <w:tc>
          <w:tcPr>
            <w:tcW w:w="2864" w:type="dxa"/>
          </w:tcPr>
          <w:p w14:paraId="63DA991C"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5430BC49" w14:textId="77777777" w:rsidR="006269C2" w:rsidRPr="006269C2" w:rsidRDefault="006269C2" w:rsidP="006269C2">
            <w:pPr>
              <w:rPr>
                <w:rFonts w:ascii="Verdana" w:hAnsi="Verdana"/>
                <w:sz w:val="16"/>
                <w:szCs w:val="16"/>
              </w:rPr>
            </w:pPr>
            <w:r w:rsidRPr="006269C2">
              <w:rPr>
                <w:rFonts w:ascii="Verdana" w:hAnsi="Verdana"/>
                <w:sz w:val="16"/>
                <w:szCs w:val="16"/>
              </w:rPr>
              <w:t xml:space="preserve">Iowa Code 123.49, 123.92; Kelly v. Sinclair Oil, 476 N.W.2d 341 (Iowa 1991) </w:t>
            </w:r>
          </w:p>
          <w:p w14:paraId="6CB412AF" w14:textId="77777777" w:rsidR="006269C2" w:rsidRPr="006269C2" w:rsidRDefault="006269C2" w:rsidP="006269C2">
            <w:pPr>
              <w:rPr>
                <w:rFonts w:ascii="Times New Roman" w:eastAsia="Times New Roman" w:hAnsi="Times New Roman"/>
                <w:sz w:val="20"/>
                <w:szCs w:val="20"/>
              </w:rPr>
            </w:pPr>
          </w:p>
        </w:tc>
        <w:tc>
          <w:tcPr>
            <w:tcW w:w="2335" w:type="dxa"/>
          </w:tcPr>
          <w:p w14:paraId="533DBF6E"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Iowa Code § 123.92; Iowa Code § 123.49; Hoth v. Meisner, 548 N.W.2d 152 (Iowa 1996); Kelly v. Sinclair Oil Corp., 476 N.W.2d 341 (Iowa 1991).</w:t>
            </w:r>
          </w:p>
          <w:p w14:paraId="02E5C28B" w14:textId="77777777" w:rsidR="006269C2" w:rsidRPr="006269C2" w:rsidRDefault="006269C2" w:rsidP="006269C2">
            <w:pPr>
              <w:rPr>
                <w:rFonts w:ascii="Verdana" w:hAnsi="Verdana"/>
                <w:sz w:val="16"/>
                <w:szCs w:val="16"/>
              </w:rPr>
            </w:pPr>
          </w:p>
        </w:tc>
      </w:tr>
      <w:tr w:rsidR="006269C2" w:rsidRPr="006269C2" w14:paraId="5884E36B" w14:textId="77777777" w:rsidTr="00FA27C5">
        <w:trPr>
          <w:trHeight w:val="300"/>
        </w:trPr>
        <w:tc>
          <w:tcPr>
            <w:tcW w:w="1541" w:type="dxa"/>
            <w:noWrap/>
            <w:hideMark/>
          </w:tcPr>
          <w:p w14:paraId="1756C49F"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Idaho</w:t>
            </w:r>
          </w:p>
        </w:tc>
        <w:tc>
          <w:tcPr>
            <w:tcW w:w="2864" w:type="dxa"/>
          </w:tcPr>
          <w:p w14:paraId="76C1D0F7"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047A7F55" w14:textId="77777777" w:rsidR="006269C2" w:rsidRPr="006269C2" w:rsidRDefault="006269C2" w:rsidP="006269C2">
            <w:pPr>
              <w:rPr>
                <w:rFonts w:ascii="Verdana" w:hAnsi="Verdana"/>
                <w:sz w:val="16"/>
                <w:szCs w:val="16"/>
              </w:rPr>
            </w:pPr>
            <w:r w:rsidRPr="006269C2">
              <w:rPr>
                <w:rFonts w:ascii="Verdana" w:hAnsi="Verdana"/>
                <w:sz w:val="16"/>
                <w:szCs w:val="16"/>
              </w:rPr>
              <w:t>Idaho Code 23-808; Fell v. Fat Smitty's LLC, 167 Idaho 34 (2020); Mc Lean v. Maverik Country Stores, 135 P.2d 756 (Idaho 2006)</w:t>
            </w:r>
          </w:p>
          <w:p w14:paraId="6A738D0F" w14:textId="77777777" w:rsidR="006269C2" w:rsidRPr="006269C2" w:rsidRDefault="006269C2" w:rsidP="006269C2">
            <w:pPr>
              <w:rPr>
                <w:rFonts w:ascii="Times New Roman" w:eastAsia="Times New Roman" w:hAnsi="Times New Roman"/>
                <w:sz w:val="20"/>
                <w:szCs w:val="20"/>
              </w:rPr>
            </w:pPr>
          </w:p>
        </w:tc>
        <w:tc>
          <w:tcPr>
            <w:tcW w:w="2335" w:type="dxa"/>
          </w:tcPr>
          <w:p w14:paraId="6DF76697"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Idaho Code § 23-808; Mc Lean v. Maverik Country Stores, Inc., 135 P.3d 756 (Idaho 2006). </w:t>
            </w:r>
          </w:p>
          <w:p w14:paraId="4727AF82" w14:textId="77777777" w:rsidR="006269C2" w:rsidRPr="006269C2" w:rsidRDefault="006269C2" w:rsidP="006269C2">
            <w:pPr>
              <w:rPr>
                <w:rFonts w:ascii="Verdana" w:hAnsi="Verdana"/>
                <w:sz w:val="16"/>
                <w:szCs w:val="16"/>
              </w:rPr>
            </w:pPr>
          </w:p>
        </w:tc>
      </w:tr>
      <w:tr w:rsidR="006269C2" w:rsidRPr="006269C2" w14:paraId="3AC96BF0" w14:textId="77777777" w:rsidTr="00FA27C5">
        <w:trPr>
          <w:trHeight w:val="300"/>
        </w:trPr>
        <w:tc>
          <w:tcPr>
            <w:tcW w:w="1541" w:type="dxa"/>
            <w:noWrap/>
            <w:hideMark/>
          </w:tcPr>
          <w:p w14:paraId="7D156DDD"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Illinois</w:t>
            </w:r>
          </w:p>
        </w:tc>
        <w:tc>
          <w:tcPr>
            <w:tcW w:w="2864" w:type="dxa"/>
          </w:tcPr>
          <w:p w14:paraId="3A24AA00"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2B9A9F70" w14:textId="77777777" w:rsidR="006269C2" w:rsidRPr="006269C2" w:rsidRDefault="006269C2" w:rsidP="006269C2">
            <w:pPr>
              <w:rPr>
                <w:rFonts w:ascii="Verdana" w:hAnsi="Verdana"/>
                <w:sz w:val="16"/>
                <w:szCs w:val="16"/>
              </w:rPr>
            </w:pPr>
            <w:r w:rsidRPr="006269C2">
              <w:rPr>
                <w:rFonts w:ascii="Verdana" w:hAnsi="Verdana"/>
                <w:sz w:val="16"/>
                <w:szCs w:val="16"/>
              </w:rPr>
              <w:t xml:space="preserve">235 Ill. Comp. Stat. 5/6-21; Simmons v. </w:t>
            </w:r>
            <w:proofErr w:type="spellStart"/>
            <w:r w:rsidRPr="006269C2">
              <w:rPr>
                <w:rFonts w:ascii="Verdana" w:hAnsi="Verdana"/>
                <w:sz w:val="16"/>
                <w:szCs w:val="16"/>
              </w:rPr>
              <w:t>Homatas</w:t>
            </w:r>
            <w:proofErr w:type="spellEnd"/>
            <w:r w:rsidRPr="006269C2">
              <w:rPr>
                <w:rFonts w:ascii="Verdana" w:hAnsi="Verdana"/>
                <w:sz w:val="16"/>
                <w:szCs w:val="16"/>
              </w:rPr>
              <w:t>, 925 N.E.2d 459 (Ill. 2010)</w:t>
            </w:r>
          </w:p>
          <w:p w14:paraId="65E35291" w14:textId="77777777" w:rsidR="006269C2" w:rsidRPr="006269C2" w:rsidRDefault="006269C2" w:rsidP="006269C2">
            <w:pPr>
              <w:rPr>
                <w:rFonts w:ascii="Times New Roman" w:eastAsia="Times New Roman" w:hAnsi="Times New Roman"/>
                <w:sz w:val="20"/>
                <w:szCs w:val="20"/>
              </w:rPr>
            </w:pPr>
          </w:p>
        </w:tc>
        <w:tc>
          <w:tcPr>
            <w:tcW w:w="2335" w:type="dxa"/>
          </w:tcPr>
          <w:p w14:paraId="5CE37E6F"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235 Ill. Comp. Stat. 5/6-21; Charles v. Seigfried, 651 N.E.2d 154 (Ill. 1995). </w:t>
            </w:r>
          </w:p>
          <w:p w14:paraId="1E764889" w14:textId="77777777" w:rsidR="006269C2" w:rsidRPr="006269C2" w:rsidRDefault="006269C2" w:rsidP="006269C2">
            <w:pPr>
              <w:rPr>
                <w:rFonts w:ascii="Verdana" w:hAnsi="Verdana"/>
                <w:sz w:val="16"/>
                <w:szCs w:val="16"/>
              </w:rPr>
            </w:pPr>
          </w:p>
        </w:tc>
      </w:tr>
      <w:tr w:rsidR="006269C2" w:rsidRPr="006269C2" w14:paraId="0BB01DBB" w14:textId="77777777" w:rsidTr="00FA27C5">
        <w:trPr>
          <w:trHeight w:val="300"/>
        </w:trPr>
        <w:tc>
          <w:tcPr>
            <w:tcW w:w="1541" w:type="dxa"/>
            <w:noWrap/>
            <w:hideMark/>
          </w:tcPr>
          <w:p w14:paraId="5C3EAA8E"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Indiana</w:t>
            </w:r>
          </w:p>
        </w:tc>
        <w:tc>
          <w:tcPr>
            <w:tcW w:w="2864" w:type="dxa"/>
          </w:tcPr>
          <w:p w14:paraId="6B21F7A7"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1126BB5B" w14:textId="77777777" w:rsidR="006269C2" w:rsidRPr="006269C2" w:rsidRDefault="006269C2" w:rsidP="006269C2">
            <w:pPr>
              <w:rPr>
                <w:rFonts w:ascii="Verdana" w:hAnsi="Verdana"/>
                <w:sz w:val="16"/>
                <w:szCs w:val="16"/>
              </w:rPr>
            </w:pPr>
            <w:r w:rsidRPr="006269C2">
              <w:rPr>
                <w:rFonts w:ascii="Verdana" w:hAnsi="Verdana"/>
                <w:sz w:val="16"/>
                <w:szCs w:val="16"/>
              </w:rPr>
              <w:t>Ind. Code 7.1-5-10-15.</w:t>
            </w:r>
            <w:proofErr w:type="gramStart"/>
            <w:r w:rsidRPr="006269C2">
              <w:rPr>
                <w:rFonts w:ascii="Verdana" w:hAnsi="Verdana"/>
                <w:sz w:val="16"/>
                <w:szCs w:val="16"/>
              </w:rPr>
              <w:t>5;  Buffington</w:t>
            </w:r>
            <w:proofErr w:type="gramEnd"/>
            <w:r w:rsidRPr="006269C2">
              <w:rPr>
                <w:rFonts w:ascii="Verdana" w:hAnsi="Verdana"/>
                <w:sz w:val="16"/>
                <w:szCs w:val="16"/>
              </w:rPr>
              <w:t xml:space="preserve"> v. Metcalf, 883 F. Supp. 1190 (S.D. Ind. </w:t>
            </w:r>
            <w:r w:rsidRPr="006269C2">
              <w:rPr>
                <w:rFonts w:ascii="Verdana" w:hAnsi="Verdana"/>
                <w:sz w:val="16"/>
                <w:szCs w:val="16"/>
              </w:rPr>
              <w:lastRenderedPageBreak/>
              <w:t xml:space="preserve">1994); Elder v. Fisher, 217 N.E.2d 847 (Ind. 1966) </w:t>
            </w:r>
          </w:p>
          <w:p w14:paraId="15EE44F0" w14:textId="77777777" w:rsidR="006269C2" w:rsidRPr="006269C2" w:rsidRDefault="006269C2" w:rsidP="006269C2">
            <w:pPr>
              <w:rPr>
                <w:rFonts w:ascii="Times New Roman" w:eastAsia="Times New Roman" w:hAnsi="Times New Roman"/>
                <w:sz w:val="20"/>
                <w:szCs w:val="20"/>
              </w:rPr>
            </w:pPr>
          </w:p>
        </w:tc>
        <w:tc>
          <w:tcPr>
            <w:tcW w:w="2335" w:type="dxa"/>
          </w:tcPr>
          <w:p w14:paraId="70D76B79"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lastRenderedPageBreak/>
              <w:t xml:space="preserve">Ind. Code § 7.1-5-10-15.5; Merchants Nat. Bank v. Simrell's Sports </w:t>
            </w:r>
            <w:r w:rsidRPr="006269C2">
              <w:rPr>
                <w:rFonts w:ascii="Verdana" w:hAnsi="Verdana" w:cs="Calibri"/>
                <w:color w:val="000000"/>
                <w:sz w:val="16"/>
                <w:szCs w:val="16"/>
              </w:rPr>
              <w:lastRenderedPageBreak/>
              <w:t xml:space="preserve">Bar &amp; Grill, 741 N.E.2d 383 (Ind. Ct. App. 2000). </w:t>
            </w:r>
          </w:p>
          <w:p w14:paraId="1342FB51" w14:textId="77777777" w:rsidR="006269C2" w:rsidRPr="006269C2" w:rsidRDefault="006269C2" w:rsidP="006269C2">
            <w:pPr>
              <w:rPr>
                <w:rFonts w:ascii="Verdana" w:hAnsi="Verdana"/>
                <w:sz w:val="16"/>
                <w:szCs w:val="16"/>
              </w:rPr>
            </w:pPr>
          </w:p>
        </w:tc>
      </w:tr>
      <w:tr w:rsidR="006269C2" w:rsidRPr="006269C2" w14:paraId="57CC9745" w14:textId="77777777" w:rsidTr="00FA27C5">
        <w:trPr>
          <w:trHeight w:val="300"/>
        </w:trPr>
        <w:tc>
          <w:tcPr>
            <w:tcW w:w="1541" w:type="dxa"/>
            <w:noWrap/>
            <w:hideMark/>
          </w:tcPr>
          <w:p w14:paraId="7E715776"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lastRenderedPageBreak/>
              <w:t>Kansas</w:t>
            </w:r>
          </w:p>
        </w:tc>
        <w:tc>
          <w:tcPr>
            <w:tcW w:w="2864" w:type="dxa"/>
          </w:tcPr>
          <w:p w14:paraId="5D354379"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no commercial host liability</w:t>
            </w:r>
          </w:p>
        </w:tc>
        <w:tc>
          <w:tcPr>
            <w:tcW w:w="2610" w:type="dxa"/>
          </w:tcPr>
          <w:p w14:paraId="5F6A71AA" w14:textId="77777777" w:rsidR="006269C2" w:rsidRPr="006269C2" w:rsidRDefault="006269C2" w:rsidP="006269C2">
            <w:pPr>
              <w:rPr>
                <w:rFonts w:ascii="Verdana" w:hAnsi="Verdana"/>
                <w:sz w:val="16"/>
                <w:szCs w:val="16"/>
              </w:rPr>
            </w:pPr>
            <w:proofErr w:type="spellStart"/>
            <w:r w:rsidRPr="006269C2">
              <w:rPr>
                <w:rFonts w:ascii="Verdana" w:hAnsi="Verdana"/>
                <w:sz w:val="16"/>
                <w:szCs w:val="16"/>
              </w:rPr>
              <w:t>Kudlackik</w:t>
            </w:r>
            <w:proofErr w:type="spellEnd"/>
            <w:r w:rsidRPr="006269C2">
              <w:rPr>
                <w:rFonts w:ascii="Verdana" w:hAnsi="Verdana"/>
                <w:sz w:val="16"/>
                <w:szCs w:val="16"/>
              </w:rPr>
              <w:t xml:space="preserve"> v. Johnny's Shawnee, Inc. 309 Kan. 788 (Kan 2019); Bland v. Scott, 112 P.3d 941 (Kan. 2005)</w:t>
            </w:r>
          </w:p>
          <w:p w14:paraId="11977881" w14:textId="77777777" w:rsidR="006269C2" w:rsidRPr="006269C2" w:rsidRDefault="006269C2" w:rsidP="006269C2">
            <w:pPr>
              <w:rPr>
                <w:rFonts w:ascii="Times New Roman" w:eastAsia="Times New Roman" w:hAnsi="Times New Roman"/>
                <w:sz w:val="20"/>
                <w:szCs w:val="20"/>
              </w:rPr>
            </w:pPr>
          </w:p>
        </w:tc>
        <w:tc>
          <w:tcPr>
            <w:tcW w:w="2335" w:type="dxa"/>
          </w:tcPr>
          <w:p w14:paraId="7AF695FF"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Bland v. Scott, 112 P.3d 941 (Kan. 2005).</w:t>
            </w:r>
          </w:p>
          <w:p w14:paraId="60E54D1F" w14:textId="77777777" w:rsidR="006269C2" w:rsidRPr="006269C2" w:rsidRDefault="006269C2" w:rsidP="006269C2">
            <w:pPr>
              <w:rPr>
                <w:rFonts w:ascii="Verdana" w:hAnsi="Verdana"/>
                <w:sz w:val="16"/>
                <w:szCs w:val="16"/>
              </w:rPr>
            </w:pPr>
          </w:p>
        </w:tc>
      </w:tr>
      <w:tr w:rsidR="006269C2" w:rsidRPr="006269C2" w14:paraId="573F0D8C" w14:textId="77777777" w:rsidTr="00FA27C5">
        <w:trPr>
          <w:trHeight w:val="300"/>
        </w:trPr>
        <w:tc>
          <w:tcPr>
            <w:tcW w:w="1541" w:type="dxa"/>
            <w:noWrap/>
            <w:hideMark/>
          </w:tcPr>
          <w:p w14:paraId="5ED41951"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Kentucky</w:t>
            </w:r>
          </w:p>
        </w:tc>
        <w:tc>
          <w:tcPr>
            <w:tcW w:w="2864" w:type="dxa"/>
          </w:tcPr>
          <w:p w14:paraId="09DC1DCF"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5C703875" w14:textId="77777777" w:rsidR="006269C2" w:rsidRPr="006269C2" w:rsidRDefault="006269C2" w:rsidP="006269C2">
            <w:pPr>
              <w:rPr>
                <w:rFonts w:ascii="Verdana" w:hAnsi="Verdana"/>
                <w:sz w:val="16"/>
                <w:szCs w:val="16"/>
              </w:rPr>
            </w:pPr>
            <w:r w:rsidRPr="006269C2">
              <w:rPr>
                <w:rFonts w:ascii="Verdana" w:hAnsi="Verdana"/>
                <w:sz w:val="16"/>
                <w:szCs w:val="16"/>
              </w:rPr>
              <w:t>Ky. Rev. Stat. 413.241; Taylor v. King, 2010 Ky. App. LEXIS 179 (Ky. Ct. App. Oct. 1, 2010)</w:t>
            </w:r>
          </w:p>
          <w:p w14:paraId="5832CB6D" w14:textId="77777777" w:rsidR="006269C2" w:rsidRPr="006269C2" w:rsidRDefault="006269C2" w:rsidP="006269C2">
            <w:pPr>
              <w:rPr>
                <w:rFonts w:ascii="Times New Roman" w:eastAsia="Times New Roman" w:hAnsi="Times New Roman"/>
                <w:sz w:val="20"/>
                <w:szCs w:val="20"/>
              </w:rPr>
            </w:pPr>
          </w:p>
        </w:tc>
        <w:tc>
          <w:tcPr>
            <w:tcW w:w="2335" w:type="dxa"/>
          </w:tcPr>
          <w:p w14:paraId="2FB2F628"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Ky. Rev. Stat. § 413.241; </w:t>
            </w:r>
            <w:proofErr w:type="spellStart"/>
            <w:r w:rsidRPr="006269C2">
              <w:rPr>
                <w:rFonts w:ascii="Verdana" w:hAnsi="Verdana" w:cs="Calibri"/>
                <w:color w:val="000000"/>
                <w:sz w:val="16"/>
                <w:szCs w:val="16"/>
              </w:rPr>
              <w:t>DeStock</w:t>
            </w:r>
            <w:proofErr w:type="spellEnd"/>
            <w:r w:rsidRPr="006269C2">
              <w:rPr>
                <w:rFonts w:ascii="Verdana" w:hAnsi="Verdana" w:cs="Calibri"/>
                <w:color w:val="000000"/>
                <w:sz w:val="16"/>
                <w:szCs w:val="16"/>
              </w:rPr>
              <w:t xml:space="preserve"> # 14, Inc. v. Logsdon, 993 S.W.2d 952 (Ky. 1999). Fort Mitchell Country Club v. </w:t>
            </w:r>
            <w:proofErr w:type="spellStart"/>
            <w:r w:rsidRPr="006269C2">
              <w:rPr>
                <w:rFonts w:ascii="Verdana" w:hAnsi="Verdana" w:cs="Calibri"/>
                <w:color w:val="000000"/>
                <w:sz w:val="16"/>
                <w:szCs w:val="16"/>
              </w:rPr>
              <w:t>LaMarre</w:t>
            </w:r>
            <w:proofErr w:type="spellEnd"/>
            <w:r w:rsidRPr="006269C2">
              <w:rPr>
                <w:rFonts w:ascii="Verdana" w:hAnsi="Verdana" w:cs="Calibri"/>
                <w:color w:val="000000"/>
                <w:sz w:val="16"/>
                <w:szCs w:val="16"/>
              </w:rPr>
              <w:t>, 394 S.W.3d 897 (Ky. 2012</w:t>
            </w:r>
            <w:proofErr w:type="gramStart"/>
            <w:r w:rsidRPr="006269C2">
              <w:rPr>
                <w:rFonts w:ascii="Verdana" w:hAnsi="Verdana" w:cs="Calibri"/>
                <w:color w:val="000000"/>
                <w:sz w:val="16"/>
                <w:szCs w:val="16"/>
              </w:rPr>
              <w:t>) .</w:t>
            </w:r>
            <w:proofErr w:type="gramEnd"/>
          </w:p>
          <w:p w14:paraId="7F9A2309" w14:textId="77777777" w:rsidR="006269C2" w:rsidRPr="006269C2" w:rsidRDefault="006269C2" w:rsidP="006269C2">
            <w:pPr>
              <w:rPr>
                <w:rFonts w:ascii="Verdana" w:hAnsi="Verdana"/>
                <w:sz w:val="16"/>
                <w:szCs w:val="16"/>
              </w:rPr>
            </w:pPr>
          </w:p>
        </w:tc>
      </w:tr>
      <w:tr w:rsidR="006269C2" w:rsidRPr="006269C2" w14:paraId="264E8655" w14:textId="77777777" w:rsidTr="00FA27C5">
        <w:trPr>
          <w:trHeight w:val="300"/>
        </w:trPr>
        <w:tc>
          <w:tcPr>
            <w:tcW w:w="1541" w:type="dxa"/>
            <w:noWrap/>
            <w:hideMark/>
          </w:tcPr>
          <w:p w14:paraId="28F7A8AD"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Louisiana</w:t>
            </w:r>
          </w:p>
        </w:tc>
        <w:tc>
          <w:tcPr>
            <w:tcW w:w="2864" w:type="dxa"/>
          </w:tcPr>
          <w:p w14:paraId="400EAF24"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0E61DE0F" w14:textId="77777777" w:rsidR="006269C2" w:rsidRPr="006269C2" w:rsidRDefault="006269C2" w:rsidP="006269C2">
            <w:pPr>
              <w:rPr>
                <w:rFonts w:ascii="Verdana" w:hAnsi="Verdana"/>
                <w:sz w:val="16"/>
                <w:szCs w:val="16"/>
              </w:rPr>
            </w:pPr>
            <w:r w:rsidRPr="006269C2">
              <w:rPr>
                <w:rFonts w:ascii="Verdana" w:hAnsi="Verdana"/>
                <w:sz w:val="16"/>
                <w:szCs w:val="16"/>
              </w:rPr>
              <w:t>La. Rev. Stat 9:2008.1; Berg v. Zummo, 786 So. 2d 708 (La. 2001)</w:t>
            </w:r>
          </w:p>
          <w:p w14:paraId="5B90A117" w14:textId="77777777" w:rsidR="006269C2" w:rsidRPr="006269C2" w:rsidRDefault="006269C2" w:rsidP="006269C2">
            <w:pPr>
              <w:rPr>
                <w:rFonts w:ascii="Times New Roman" w:eastAsia="Times New Roman" w:hAnsi="Times New Roman"/>
                <w:sz w:val="20"/>
                <w:szCs w:val="20"/>
              </w:rPr>
            </w:pPr>
          </w:p>
        </w:tc>
        <w:tc>
          <w:tcPr>
            <w:tcW w:w="2335" w:type="dxa"/>
          </w:tcPr>
          <w:p w14:paraId="5680DFAC"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La. Rev. Stat. Ann. § 9:2800.1; Berg v. Zummo, 786 So. 2d 708 (La. 2001). </w:t>
            </w:r>
          </w:p>
          <w:p w14:paraId="2911AE0A" w14:textId="77777777" w:rsidR="006269C2" w:rsidRPr="006269C2" w:rsidRDefault="006269C2" w:rsidP="006269C2">
            <w:pPr>
              <w:rPr>
                <w:rFonts w:ascii="Verdana" w:hAnsi="Verdana"/>
                <w:sz w:val="16"/>
                <w:szCs w:val="16"/>
              </w:rPr>
            </w:pPr>
          </w:p>
        </w:tc>
      </w:tr>
      <w:tr w:rsidR="006269C2" w:rsidRPr="006269C2" w14:paraId="14AFE0B7" w14:textId="77777777" w:rsidTr="00FA27C5">
        <w:trPr>
          <w:trHeight w:val="300"/>
        </w:trPr>
        <w:tc>
          <w:tcPr>
            <w:tcW w:w="1541" w:type="dxa"/>
            <w:noWrap/>
            <w:hideMark/>
          </w:tcPr>
          <w:p w14:paraId="2D843668"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Massachusetts</w:t>
            </w:r>
          </w:p>
        </w:tc>
        <w:tc>
          <w:tcPr>
            <w:tcW w:w="2864" w:type="dxa"/>
          </w:tcPr>
          <w:p w14:paraId="44281138"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5029583A" w14:textId="77777777" w:rsidR="006269C2" w:rsidRPr="006269C2" w:rsidRDefault="006269C2" w:rsidP="006269C2">
            <w:pPr>
              <w:rPr>
                <w:rFonts w:ascii="Verdana" w:hAnsi="Verdana"/>
                <w:sz w:val="16"/>
                <w:szCs w:val="16"/>
              </w:rPr>
            </w:pPr>
            <w:r w:rsidRPr="006269C2">
              <w:rPr>
                <w:rFonts w:ascii="Verdana" w:hAnsi="Verdana"/>
                <w:sz w:val="16"/>
                <w:szCs w:val="16"/>
              </w:rPr>
              <w:t xml:space="preserve">Nunez v. Carrabba's Italian </w:t>
            </w:r>
            <w:proofErr w:type="spellStart"/>
            <w:proofErr w:type="gramStart"/>
            <w:r w:rsidRPr="006269C2">
              <w:rPr>
                <w:rFonts w:ascii="Verdana" w:hAnsi="Verdana"/>
                <w:sz w:val="16"/>
                <w:szCs w:val="16"/>
              </w:rPr>
              <w:t>Grill,ne</w:t>
            </w:r>
            <w:proofErr w:type="spellEnd"/>
            <w:proofErr w:type="gramEnd"/>
            <w:r w:rsidRPr="006269C2">
              <w:rPr>
                <w:rFonts w:ascii="Verdana" w:hAnsi="Verdana"/>
                <w:sz w:val="16"/>
                <w:szCs w:val="16"/>
              </w:rPr>
              <w:t xml:space="preserve"> (Mass. 2007); Cimino v. Milford Keg, 431 N.E.2d 920 (Mass. 1982) </w:t>
            </w:r>
          </w:p>
          <w:p w14:paraId="5D2A7C77" w14:textId="77777777" w:rsidR="006269C2" w:rsidRPr="006269C2" w:rsidRDefault="006269C2" w:rsidP="006269C2">
            <w:pPr>
              <w:rPr>
                <w:rFonts w:ascii="Times New Roman" w:eastAsia="Times New Roman" w:hAnsi="Times New Roman"/>
                <w:sz w:val="20"/>
                <w:szCs w:val="20"/>
              </w:rPr>
            </w:pPr>
          </w:p>
        </w:tc>
        <w:tc>
          <w:tcPr>
            <w:tcW w:w="2335" w:type="dxa"/>
          </w:tcPr>
          <w:p w14:paraId="41F5C170"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Mass. Gen. Laws </w:t>
            </w:r>
            <w:proofErr w:type="spellStart"/>
            <w:r w:rsidRPr="006269C2">
              <w:rPr>
                <w:rFonts w:ascii="Verdana" w:hAnsi="Verdana" w:cs="Calibri"/>
                <w:color w:val="000000"/>
                <w:sz w:val="16"/>
                <w:szCs w:val="16"/>
              </w:rPr>
              <w:t>ch.</w:t>
            </w:r>
            <w:proofErr w:type="spellEnd"/>
            <w:r w:rsidRPr="006269C2">
              <w:rPr>
                <w:rFonts w:ascii="Verdana" w:hAnsi="Verdana" w:cs="Calibri"/>
                <w:color w:val="000000"/>
                <w:sz w:val="16"/>
                <w:szCs w:val="16"/>
              </w:rPr>
              <w:t xml:space="preserve"> 231, § 85T; Cimino v. Milford Keg, Inc., 431 N.E.2d 920 (Mass. 1982); Adamian v. Three Sons, Inc., 233 N.E.2d 18 (Mass. 1968); </w:t>
            </w:r>
            <w:proofErr w:type="spellStart"/>
            <w:r w:rsidRPr="006269C2">
              <w:rPr>
                <w:rFonts w:ascii="Verdana" w:hAnsi="Verdana" w:cs="Calibri"/>
                <w:color w:val="000000"/>
                <w:sz w:val="16"/>
                <w:szCs w:val="16"/>
              </w:rPr>
              <w:t>Wiska</w:t>
            </w:r>
            <w:proofErr w:type="spellEnd"/>
            <w:r w:rsidRPr="006269C2">
              <w:rPr>
                <w:rFonts w:ascii="Verdana" w:hAnsi="Verdana" w:cs="Calibri"/>
                <w:color w:val="000000"/>
                <w:sz w:val="16"/>
                <w:szCs w:val="16"/>
              </w:rPr>
              <w:t xml:space="preserve"> v. St. Stanislaus Social Club, Inc., 390 N.E.2d 1133 (Mass. App. Ct. 1979).</w:t>
            </w:r>
          </w:p>
          <w:p w14:paraId="0C0AC839" w14:textId="77777777" w:rsidR="006269C2" w:rsidRPr="006269C2" w:rsidRDefault="006269C2" w:rsidP="006269C2">
            <w:pPr>
              <w:rPr>
                <w:rFonts w:ascii="Verdana" w:hAnsi="Verdana"/>
                <w:sz w:val="16"/>
                <w:szCs w:val="16"/>
              </w:rPr>
            </w:pPr>
          </w:p>
        </w:tc>
      </w:tr>
      <w:tr w:rsidR="006269C2" w:rsidRPr="006269C2" w14:paraId="0B6E40E1" w14:textId="77777777" w:rsidTr="00FA27C5">
        <w:trPr>
          <w:trHeight w:val="300"/>
        </w:trPr>
        <w:tc>
          <w:tcPr>
            <w:tcW w:w="1541" w:type="dxa"/>
            <w:noWrap/>
            <w:hideMark/>
          </w:tcPr>
          <w:p w14:paraId="3A4C9430"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Maryland</w:t>
            </w:r>
          </w:p>
        </w:tc>
        <w:tc>
          <w:tcPr>
            <w:tcW w:w="2864" w:type="dxa"/>
          </w:tcPr>
          <w:p w14:paraId="26DDC8C2"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no commercial host liability</w:t>
            </w:r>
          </w:p>
        </w:tc>
        <w:tc>
          <w:tcPr>
            <w:tcW w:w="2610" w:type="dxa"/>
          </w:tcPr>
          <w:p w14:paraId="256B93B8" w14:textId="77777777" w:rsidR="006269C2" w:rsidRPr="006269C2" w:rsidRDefault="006269C2" w:rsidP="006269C2">
            <w:pPr>
              <w:rPr>
                <w:rFonts w:ascii="Verdana" w:hAnsi="Verdana"/>
                <w:sz w:val="16"/>
                <w:szCs w:val="16"/>
              </w:rPr>
            </w:pPr>
            <w:r w:rsidRPr="006269C2">
              <w:rPr>
                <w:rFonts w:ascii="Verdana" w:hAnsi="Verdana"/>
                <w:sz w:val="16"/>
                <w:szCs w:val="16"/>
              </w:rPr>
              <w:t>Felder v. Butler, 438 A.2d 494 (Md. 1981); Wright v. Sue &amp; Charles, 749 A.2d 241 (Md. Ct. Spec. App. 2000), cert. denied, 755 A.2d 1140 (2000)</w:t>
            </w:r>
          </w:p>
          <w:p w14:paraId="2B0EBA22" w14:textId="77777777" w:rsidR="006269C2" w:rsidRPr="006269C2" w:rsidRDefault="006269C2" w:rsidP="006269C2">
            <w:pPr>
              <w:rPr>
                <w:rFonts w:ascii="Times New Roman" w:eastAsia="Times New Roman" w:hAnsi="Times New Roman"/>
                <w:sz w:val="20"/>
                <w:szCs w:val="20"/>
              </w:rPr>
            </w:pPr>
          </w:p>
        </w:tc>
        <w:tc>
          <w:tcPr>
            <w:tcW w:w="2335" w:type="dxa"/>
          </w:tcPr>
          <w:p w14:paraId="6F077E58"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Warr v. JMGM Group, LLC, 70 A.3d 170 (Md. 2013), Felder v. Butler, 438 A.2d 494 (Md. 1981); Moran v. Foodmaker, 594 A.2d 587 (Md. Spec. Ct. App. 1991), writ denied, 599 A.2d 90 (Md. 1991).</w:t>
            </w:r>
          </w:p>
          <w:p w14:paraId="0D86E790" w14:textId="77777777" w:rsidR="006269C2" w:rsidRPr="006269C2" w:rsidRDefault="006269C2" w:rsidP="006269C2">
            <w:pPr>
              <w:rPr>
                <w:rFonts w:ascii="Verdana" w:hAnsi="Verdana"/>
                <w:sz w:val="16"/>
                <w:szCs w:val="16"/>
              </w:rPr>
            </w:pPr>
          </w:p>
        </w:tc>
      </w:tr>
      <w:tr w:rsidR="006269C2" w:rsidRPr="006269C2" w14:paraId="2A29AB85" w14:textId="77777777" w:rsidTr="00FA27C5">
        <w:trPr>
          <w:trHeight w:val="300"/>
        </w:trPr>
        <w:tc>
          <w:tcPr>
            <w:tcW w:w="1541" w:type="dxa"/>
            <w:noWrap/>
            <w:hideMark/>
          </w:tcPr>
          <w:p w14:paraId="1FBBA8BE"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Maine</w:t>
            </w:r>
          </w:p>
        </w:tc>
        <w:tc>
          <w:tcPr>
            <w:tcW w:w="2864" w:type="dxa"/>
          </w:tcPr>
          <w:p w14:paraId="7D4552EB"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678AEFAA" w14:textId="77777777" w:rsidR="006269C2" w:rsidRPr="006269C2" w:rsidRDefault="006269C2" w:rsidP="006269C2">
            <w:pPr>
              <w:rPr>
                <w:rFonts w:ascii="Verdana" w:hAnsi="Verdana"/>
                <w:sz w:val="16"/>
                <w:szCs w:val="16"/>
              </w:rPr>
            </w:pPr>
            <w:r w:rsidRPr="006269C2">
              <w:rPr>
                <w:rFonts w:ascii="Verdana" w:hAnsi="Verdana"/>
                <w:sz w:val="16"/>
                <w:szCs w:val="16"/>
              </w:rPr>
              <w:t xml:space="preserve">Me. Rev. Stat. tit. 28-A, 2501 et seq., Swan v. Sohio Oil, 618 A.2d 214 (Me. 1992) </w:t>
            </w:r>
          </w:p>
          <w:p w14:paraId="581934FB" w14:textId="77777777" w:rsidR="006269C2" w:rsidRPr="006269C2" w:rsidRDefault="006269C2" w:rsidP="006269C2">
            <w:pPr>
              <w:rPr>
                <w:rFonts w:ascii="Times New Roman" w:eastAsia="Times New Roman" w:hAnsi="Times New Roman"/>
                <w:sz w:val="20"/>
                <w:szCs w:val="20"/>
              </w:rPr>
            </w:pPr>
          </w:p>
        </w:tc>
        <w:tc>
          <w:tcPr>
            <w:tcW w:w="2335" w:type="dxa"/>
          </w:tcPr>
          <w:p w14:paraId="5A12746C"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Me. Rev. Stat. Ann. tit. 28-A, § 2503; Me. Rev. Stat. Ann. tit. 28-A, § 2505; Me. Rev. Stat. Ann. tit. 28-A, § 2506; Me. Rev. Stat. Ann. tit. 28-A, § 2507; Me. Rev. Stat. Ann. tit. 28-A, § 2508; Me. Rev. Stat. Ann. tit. 28-A, § 2509; Me. Rev. Stat. Ann. tit. 28-A, § 2511; Me. Rev. Stat. Ann. tit. 28-A, § 2515; Jackson </w:t>
            </w:r>
            <w:r w:rsidRPr="006269C2">
              <w:rPr>
                <w:rFonts w:ascii="Verdana" w:hAnsi="Verdana" w:cs="Calibri"/>
                <w:color w:val="000000"/>
                <w:sz w:val="16"/>
                <w:szCs w:val="16"/>
              </w:rPr>
              <w:lastRenderedPageBreak/>
              <w:t xml:space="preserve">v. Tedd-Lait Post No. 5, 723 A.2d 1220 (Me. 1999). </w:t>
            </w:r>
          </w:p>
          <w:p w14:paraId="11093B03" w14:textId="77777777" w:rsidR="006269C2" w:rsidRPr="006269C2" w:rsidRDefault="006269C2" w:rsidP="006269C2">
            <w:pPr>
              <w:rPr>
                <w:rFonts w:ascii="Verdana" w:hAnsi="Verdana"/>
                <w:sz w:val="16"/>
                <w:szCs w:val="16"/>
              </w:rPr>
            </w:pPr>
          </w:p>
        </w:tc>
      </w:tr>
      <w:tr w:rsidR="006269C2" w:rsidRPr="006269C2" w14:paraId="0EF4FBA5" w14:textId="77777777" w:rsidTr="00FA27C5">
        <w:trPr>
          <w:trHeight w:val="300"/>
        </w:trPr>
        <w:tc>
          <w:tcPr>
            <w:tcW w:w="1541" w:type="dxa"/>
            <w:noWrap/>
            <w:hideMark/>
          </w:tcPr>
          <w:p w14:paraId="1BA5E775"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lastRenderedPageBreak/>
              <w:t>Michigan</w:t>
            </w:r>
          </w:p>
        </w:tc>
        <w:tc>
          <w:tcPr>
            <w:tcW w:w="2864" w:type="dxa"/>
          </w:tcPr>
          <w:p w14:paraId="46AD3AB0"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7EB13AD7" w14:textId="77777777" w:rsidR="006269C2" w:rsidRPr="006269C2" w:rsidRDefault="006269C2" w:rsidP="006269C2">
            <w:pPr>
              <w:rPr>
                <w:rFonts w:ascii="Verdana" w:hAnsi="Verdana"/>
                <w:sz w:val="16"/>
                <w:szCs w:val="16"/>
              </w:rPr>
            </w:pPr>
            <w:r w:rsidRPr="006269C2">
              <w:rPr>
                <w:rFonts w:ascii="Verdana" w:hAnsi="Verdana"/>
                <w:sz w:val="16"/>
                <w:szCs w:val="16"/>
              </w:rPr>
              <w:t xml:space="preserve">Mich. Comp. Laws 436.1801(3), 436.1801(10); Mann v. </w:t>
            </w:r>
            <w:proofErr w:type="spellStart"/>
            <w:r w:rsidRPr="006269C2">
              <w:rPr>
                <w:rFonts w:ascii="Verdana" w:hAnsi="Verdana"/>
                <w:sz w:val="16"/>
                <w:szCs w:val="16"/>
              </w:rPr>
              <w:t>Shusteric</w:t>
            </w:r>
            <w:proofErr w:type="spellEnd"/>
            <w:r w:rsidRPr="006269C2">
              <w:rPr>
                <w:rFonts w:ascii="Verdana" w:hAnsi="Verdana"/>
                <w:sz w:val="16"/>
                <w:szCs w:val="16"/>
              </w:rPr>
              <w:t xml:space="preserve"> Enters., 683 N.W.2d 573 (Mich. 2004) </w:t>
            </w:r>
          </w:p>
          <w:p w14:paraId="702B4031" w14:textId="77777777" w:rsidR="006269C2" w:rsidRPr="006269C2" w:rsidRDefault="006269C2" w:rsidP="006269C2">
            <w:pPr>
              <w:rPr>
                <w:rFonts w:ascii="Times New Roman" w:eastAsia="Times New Roman" w:hAnsi="Times New Roman"/>
                <w:sz w:val="20"/>
                <w:szCs w:val="20"/>
              </w:rPr>
            </w:pPr>
          </w:p>
        </w:tc>
        <w:tc>
          <w:tcPr>
            <w:tcW w:w="2335" w:type="dxa"/>
          </w:tcPr>
          <w:p w14:paraId="464A7BD4"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Mich. Comp. Laws § 436.1801; Mich. Comp. Laws § 436.1815; Longstreth v Gensel, 377 N.W.2d 804 (Mich. 1985). </w:t>
            </w:r>
          </w:p>
          <w:p w14:paraId="327D60BD" w14:textId="77777777" w:rsidR="006269C2" w:rsidRPr="006269C2" w:rsidRDefault="006269C2" w:rsidP="006269C2">
            <w:pPr>
              <w:rPr>
                <w:rFonts w:ascii="Verdana" w:hAnsi="Verdana"/>
                <w:sz w:val="16"/>
                <w:szCs w:val="16"/>
              </w:rPr>
            </w:pPr>
          </w:p>
        </w:tc>
      </w:tr>
      <w:tr w:rsidR="006269C2" w:rsidRPr="006269C2" w14:paraId="56AE6BDC" w14:textId="77777777" w:rsidTr="00FA27C5">
        <w:trPr>
          <w:trHeight w:val="300"/>
        </w:trPr>
        <w:tc>
          <w:tcPr>
            <w:tcW w:w="1541" w:type="dxa"/>
            <w:noWrap/>
            <w:hideMark/>
          </w:tcPr>
          <w:p w14:paraId="67669945"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Minnesota</w:t>
            </w:r>
          </w:p>
        </w:tc>
        <w:tc>
          <w:tcPr>
            <w:tcW w:w="2864" w:type="dxa"/>
          </w:tcPr>
          <w:p w14:paraId="6612CBF9"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7A27FC79" w14:textId="77777777" w:rsidR="006269C2" w:rsidRPr="006269C2" w:rsidRDefault="006269C2" w:rsidP="006269C2">
            <w:pPr>
              <w:rPr>
                <w:rFonts w:ascii="Verdana" w:hAnsi="Verdana"/>
                <w:sz w:val="16"/>
                <w:szCs w:val="16"/>
              </w:rPr>
            </w:pPr>
            <w:r w:rsidRPr="006269C2">
              <w:rPr>
                <w:rFonts w:ascii="Verdana" w:hAnsi="Verdana"/>
                <w:sz w:val="16"/>
                <w:szCs w:val="16"/>
              </w:rPr>
              <w:t>Minn. Stat. 340A.502, 340A.801</w:t>
            </w:r>
          </w:p>
          <w:p w14:paraId="6B0DB92C" w14:textId="77777777" w:rsidR="006269C2" w:rsidRPr="006269C2" w:rsidRDefault="006269C2" w:rsidP="006269C2">
            <w:pPr>
              <w:rPr>
                <w:rFonts w:ascii="Times New Roman" w:eastAsia="Times New Roman" w:hAnsi="Times New Roman"/>
                <w:sz w:val="20"/>
                <w:szCs w:val="20"/>
              </w:rPr>
            </w:pPr>
          </w:p>
        </w:tc>
        <w:tc>
          <w:tcPr>
            <w:tcW w:w="2335" w:type="dxa"/>
          </w:tcPr>
          <w:p w14:paraId="0885B9B6"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Minn. Stat. § 340A.801; Minn. Stat. § 340A.503.</w:t>
            </w:r>
          </w:p>
          <w:p w14:paraId="0D321DD0" w14:textId="77777777" w:rsidR="006269C2" w:rsidRPr="006269C2" w:rsidRDefault="006269C2" w:rsidP="006269C2">
            <w:pPr>
              <w:rPr>
                <w:rFonts w:ascii="Verdana" w:hAnsi="Verdana"/>
                <w:sz w:val="16"/>
                <w:szCs w:val="16"/>
              </w:rPr>
            </w:pPr>
          </w:p>
        </w:tc>
      </w:tr>
      <w:tr w:rsidR="006269C2" w:rsidRPr="006269C2" w14:paraId="5EC58F81" w14:textId="77777777" w:rsidTr="00FA27C5">
        <w:trPr>
          <w:trHeight w:val="300"/>
        </w:trPr>
        <w:tc>
          <w:tcPr>
            <w:tcW w:w="1541" w:type="dxa"/>
            <w:noWrap/>
            <w:hideMark/>
          </w:tcPr>
          <w:p w14:paraId="7C6CB2B5"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Missouri</w:t>
            </w:r>
          </w:p>
        </w:tc>
        <w:tc>
          <w:tcPr>
            <w:tcW w:w="2864" w:type="dxa"/>
          </w:tcPr>
          <w:p w14:paraId="7110B726"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294F0E23" w14:textId="77777777" w:rsidR="006269C2" w:rsidRPr="006269C2" w:rsidRDefault="006269C2" w:rsidP="006269C2">
            <w:pPr>
              <w:rPr>
                <w:rFonts w:ascii="Verdana" w:hAnsi="Verdana"/>
                <w:sz w:val="16"/>
                <w:szCs w:val="16"/>
              </w:rPr>
            </w:pPr>
            <w:r w:rsidRPr="006269C2">
              <w:rPr>
                <w:rFonts w:ascii="Verdana" w:hAnsi="Verdana"/>
                <w:sz w:val="16"/>
                <w:szCs w:val="16"/>
              </w:rPr>
              <w:t xml:space="preserve">Mo. Rev. Stat. 537.053(2), (4); </w:t>
            </w:r>
            <w:proofErr w:type="spellStart"/>
            <w:r w:rsidRPr="006269C2">
              <w:rPr>
                <w:rFonts w:ascii="Verdana" w:hAnsi="Verdana"/>
                <w:sz w:val="16"/>
                <w:szCs w:val="16"/>
              </w:rPr>
              <w:t>Snodgras</w:t>
            </w:r>
            <w:proofErr w:type="spellEnd"/>
            <w:r w:rsidRPr="006269C2">
              <w:rPr>
                <w:rFonts w:ascii="Verdana" w:hAnsi="Verdana"/>
                <w:sz w:val="16"/>
                <w:szCs w:val="16"/>
              </w:rPr>
              <w:t xml:space="preserve"> v. Martin &amp; Bayley, 204 S.W.3d 638 (Mo. 2006)</w:t>
            </w:r>
          </w:p>
          <w:p w14:paraId="58DE2CC1" w14:textId="77777777" w:rsidR="006269C2" w:rsidRPr="006269C2" w:rsidRDefault="006269C2" w:rsidP="006269C2">
            <w:pPr>
              <w:rPr>
                <w:rFonts w:ascii="Times New Roman" w:eastAsia="Times New Roman" w:hAnsi="Times New Roman"/>
                <w:sz w:val="20"/>
                <w:szCs w:val="20"/>
              </w:rPr>
            </w:pPr>
          </w:p>
        </w:tc>
        <w:tc>
          <w:tcPr>
            <w:tcW w:w="2335" w:type="dxa"/>
          </w:tcPr>
          <w:p w14:paraId="5E67D25C"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Mo. Rev Stat. § 537.053; </w:t>
            </w:r>
            <w:proofErr w:type="spellStart"/>
            <w:r w:rsidRPr="006269C2">
              <w:rPr>
                <w:rFonts w:ascii="Verdana" w:hAnsi="Verdana" w:cs="Calibri"/>
                <w:color w:val="000000"/>
                <w:sz w:val="16"/>
                <w:szCs w:val="16"/>
              </w:rPr>
              <w:t>Snodgras</w:t>
            </w:r>
            <w:proofErr w:type="spellEnd"/>
            <w:r w:rsidRPr="006269C2">
              <w:rPr>
                <w:rFonts w:ascii="Verdana" w:hAnsi="Verdana" w:cs="Calibri"/>
                <w:color w:val="000000"/>
                <w:sz w:val="16"/>
                <w:szCs w:val="16"/>
              </w:rPr>
              <w:t xml:space="preserve"> v. Martin &amp; Bayley, Inc., 204 S.W.3d 638 (Mo. 2006).</w:t>
            </w:r>
          </w:p>
          <w:p w14:paraId="4FFE02FD" w14:textId="77777777" w:rsidR="006269C2" w:rsidRPr="006269C2" w:rsidRDefault="006269C2" w:rsidP="006269C2">
            <w:pPr>
              <w:rPr>
                <w:rFonts w:ascii="Verdana" w:hAnsi="Verdana"/>
                <w:sz w:val="16"/>
                <w:szCs w:val="16"/>
              </w:rPr>
            </w:pPr>
          </w:p>
        </w:tc>
      </w:tr>
      <w:tr w:rsidR="006269C2" w:rsidRPr="006269C2" w14:paraId="2F74D4EF" w14:textId="77777777" w:rsidTr="00FA27C5">
        <w:trPr>
          <w:trHeight w:val="300"/>
        </w:trPr>
        <w:tc>
          <w:tcPr>
            <w:tcW w:w="1541" w:type="dxa"/>
            <w:noWrap/>
            <w:hideMark/>
          </w:tcPr>
          <w:p w14:paraId="5C1F41C5"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Mississippi</w:t>
            </w:r>
          </w:p>
        </w:tc>
        <w:tc>
          <w:tcPr>
            <w:tcW w:w="2864" w:type="dxa"/>
          </w:tcPr>
          <w:p w14:paraId="362B10B6"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2D2CF068" w14:textId="77777777" w:rsidR="006269C2" w:rsidRPr="006269C2" w:rsidRDefault="006269C2" w:rsidP="006269C2">
            <w:pPr>
              <w:rPr>
                <w:rFonts w:ascii="Verdana" w:hAnsi="Verdana"/>
                <w:sz w:val="16"/>
                <w:szCs w:val="16"/>
              </w:rPr>
            </w:pPr>
            <w:r w:rsidRPr="006269C2">
              <w:rPr>
                <w:rFonts w:ascii="Verdana" w:hAnsi="Verdana"/>
                <w:sz w:val="16"/>
                <w:szCs w:val="16"/>
              </w:rPr>
              <w:t xml:space="preserve">Miss. </w:t>
            </w:r>
            <w:proofErr w:type="gramStart"/>
            <w:r w:rsidRPr="006269C2">
              <w:rPr>
                <w:rFonts w:ascii="Verdana" w:hAnsi="Verdana"/>
                <w:sz w:val="16"/>
                <w:szCs w:val="16"/>
              </w:rPr>
              <w:t>Code  67</w:t>
            </w:r>
            <w:proofErr w:type="gramEnd"/>
            <w:r w:rsidRPr="006269C2">
              <w:rPr>
                <w:rFonts w:ascii="Verdana" w:hAnsi="Verdana"/>
                <w:sz w:val="16"/>
                <w:szCs w:val="16"/>
              </w:rPr>
              <w:t xml:space="preserve">-3-73; Bridges v. Park Place Entertainment, 860 So. 2d 811 (Miss. 2003). </w:t>
            </w:r>
          </w:p>
          <w:p w14:paraId="300F9AE7" w14:textId="77777777" w:rsidR="006269C2" w:rsidRPr="006269C2" w:rsidRDefault="006269C2" w:rsidP="006269C2">
            <w:pPr>
              <w:rPr>
                <w:rFonts w:ascii="Times New Roman" w:eastAsia="Times New Roman" w:hAnsi="Times New Roman"/>
                <w:sz w:val="20"/>
                <w:szCs w:val="20"/>
              </w:rPr>
            </w:pPr>
          </w:p>
        </w:tc>
        <w:tc>
          <w:tcPr>
            <w:tcW w:w="2335" w:type="dxa"/>
          </w:tcPr>
          <w:p w14:paraId="61B65094"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Bryant v. Alpha Entertainment Corp., 508 So. 2d 1094 (Miss. 1987); Moore v. K&amp;J Enters., 856 So. 2d 621 (Miss. Ct. App.), cert. granted, 860 So.2d 1223 (Miss. 2003), cert. dismissed (Mar. 4, 2004).</w:t>
            </w:r>
          </w:p>
          <w:p w14:paraId="2A3E349B" w14:textId="77777777" w:rsidR="006269C2" w:rsidRPr="006269C2" w:rsidRDefault="006269C2" w:rsidP="006269C2">
            <w:pPr>
              <w:rPr>
                <w:rFonts w:ascii="Verdana" w:hAnsi="Verdana"/>
                <w:sz w:val="16"/>
                <w:szCs w:val="16"/>
              </w:rPr>
            </w:pPr>
          </w:p>
        </w:tc>
      </w:tr>
      <w:tr w:rsidR="006269C2" w:rsidRPr="006269C2" w14:paraId="3154C8AA" w14:textId="77777777" w:rsidTr="00FA27C5">
        <w:trPr>
          <w:trHeight w:val="300"/>
        </w:trPr>
        <w:tc>
          <w:tcPr>
            <w:tcW w:w="1541" w:type="dxa"/>
            <w:noWrap/>
            <w:hideMark/>
          </w:tcPr>
          <w:p w14:paraId="30199843"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Montana</w:t>
            </w:r>
          </w:p>
        </w:tc>
        <w:tc>
          <w:tcPr>
            <w:tcW w:w="2864" w:type="dxa"/>
          </w:tcPr>
          <w:p w14:paraId="60F30819"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668A850A" w14:textId="77777777" w:rsidR="006269C2" w:rsidRPr="006269C2" w:rsidRDefault="006269C2" w:rsidP="006269C2">
            <w:pPr>
              <w:rPr>
                <w:rFonts w:ascii="Verdana" w:hAnsi="Verdana"/>
                <w:sz w:val="16"/>
                <w:szCs w:val="16"/>
              </w:rPr>
            </w:pPr>
            <w:r w:rsidRPr="006269C2">
              <w:rPr>
                <w:rFonts w:ascii="Verdana" w:hAnsi="Verdana"/>
                <w:sz w:val="16"/>
                <w:szCs w:val="16"/>
              </w:rPr>
              <w:t xml:space="preserve">Mont. Code 27-1-710; Rohlfs v. </w:t>
            </w:r>
            <w:proofErr w:type="spellStart"/>
            <w:r w:rsidRPr="006269C2">
              <w:rPr>
                <w:rFonts w:ascii="Verdana" w:hAnsi="Verdana"/>
                <w:sz w:val="16"/>
                <w:szCs w:val="16"/>
              </w:rPr>
              <w:t>Klemenhagen</w:t>
            </w:r>
            <w:proofErr w:type="spellEnd"/>
            <w:r w:rsidRPr="006269C2">
              <w:rPr>
                <w:rFonts w:ascii="Verdana" w:hAnsi="Verdana"/>
                <w:sz w:val="16"/>
                <w:szCs w:val="16"/>
              </w:rPr>
              <w:t>, 227 P.3d 42 (Mont. 2009)</w:t>
            </w:r>
          </w:p>
          <w:p w14:paraId="6B1EC84A" w14:textId="77777777" w:rsidR="006269C2" w:rsidRPr="006269C2" w:rsidRDefault="006269C2" w:rsidP="006269C2">
            <w:pPr>
              <w:rPr>
                <w:rFonts w:ascii="Times New Roman" w:eastAsia="Times New Roman" w:hAnsi="Times New Roman"/>
                <w:sz w:val="20"/>
                <w:szCs w:val="20"/>
              </w:rPr>
            </w:pPr>
          </w:p>
        </w:tc>
        <w:tc>
          <w:tcPr>
            <w:tcW w:w="2335" w:type="dxa"/>
          </w:tcPr>
          <w:p w14:paraId="16F6C229"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Mont. Code Ann. § 27-1-710; Rohlfs v. </w:t>
            </w:r>
            <w:proofErr w:type="spellStart"/>
            <w:r w:rsidRPr="006269C2">
              <w:rPr>
                <w:rFonts w:ascii="Verdana" w:hAnsi="Verdana" w:cs="Calibri"/>
                <w:color w:val="000000"/>
                <w:sz w:val="16"/>
                <w:szCs w:val="16"/>
              </w:rPr>
              <w:t>Klemenhagen</w:t>
            </w:r>
            <w:proofErr w:type="spellEnd"/>
            <w:r w:rsidRPr="006269C2">
              <w:rPr>
                <w:rFonts w:ascii="Verdana" w:hAnsi="Verdana" w:cs="Calibri"/>
                <w:color w:val="000000"/>
                <w:sz w:val="16"/>
                <w:szCs w:val="16"/>
              </w:rPr>
              <w:t xml:space="preserve">, LLC, 227 P.3d 42 </w:t>
            </w:r>
            <w:proofErr w:type="gramStart"/>
            <w:r w:rsidRPr="006269C2">
              <w:rPr>
                <w:rFonts w:ascii="Verdana" w:hAnsi="Verdana" w:cs="Calibri"/>
                <w:color w:val="000000"/>
                <w:sz w:val="16"/>
                <w:szCs w:val="16"/>
              </w:rPr>
              <w:t>( Mont.</w:t>
            </w:r>
            <w:proofErr w:type="gramEnd"/>
            <w:r w:rsidRPr="006269C2">
              <w:rPr>
                <w:rFonts w:ascii="Verdana" w:hAnsi="Verdana" w:cs="Calibri"/>
                <w:color w:val="000000"/>
                <w:sz w:val="16"/>
                <w:szCs w:val="16"/>
              </w:rPr>
              <w:t xml:space="preserve"> 2009)</w:t>
            </w:r>
          </w:p>
          <w:p w14:paraId="13835B5D" w14:textId="77777777" w:rsidR="006269C2" w:rsidRPr="006269C2" w:rsidRDefault="006269C2" w:rsidP="006269C2">
            <w:pPr>
              <w:rPr>
                <w:rFonts w:ascii="Verdana" w:hAnsi="Verdana"/>
                <w:sz w:val="16"/>
                <w:szCs w:val="16"/>
              </w:rPr>
            </w:pPr>
          </w:p>
        </w:tc>
      </w:tr>
      <w:tr w:rsidR="006269C2" w:rsidRPr="006269C2" w14:paraId="10B471EA" w14:textId="77777777" w:rsidTr="00FA27C5">
        <w:trPr>
          <w:trHeight w:val="300"/>
        </w:trPr>
        <w:tc>
          <w:tcPr>
            <w:tcW w:w="1541" w:type="dxa"/>
            <w:noWrap/>
            <w:hideMark/>
          </w:tcPr>
          <w:p w14:paraId="1CA2FF59"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North Carolina</w:t>
            </w:r>
          </w:p>
        </w:tc>
        <w:tc>
          <w:tcPr>
            <w:tcW w:w="2864" w:type="dxa"/>
          </w:tcPr>
          <w:p w14:paraId="342AA7CA"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6373BB89" w14:textId="77777777" w:rsidR="006269C2" w:rsidRPr="006269C2" w:rsidRDefault="006269C2" w:rsidP="006269C2">
            <w:pPr>
              <w:rPr>
                <w:rFonts w:ascii="Verdana" w:hAnsi="Verdana"/>
                <w:sz w:val="16"/>
                <w:szCs w:val="16"/>
              </w:rPr>
            </w:pPr>
            <w:r w:rsidRPr="006269C2">
              <w:rPr>
                <w:rFonts w:ascii="Verdana" w:hAnsi="Verdana"/>
                <w:sz w:val="16"/>
                <w:szCs w:val="16"/>
              </w:rPr>
              <w:t xml:space="preserve">N.C. Gen. Stat. 18B-128; Estate of Mullis by Dixon v. Monroe Oil Co., 488 S.E.2d 830 (N.C. Ct. App. 1997), aff’d, 505 S.E.2d 131 (N.C. 1998).  </w:t>
            </w:r>
          </w:p>
          <w:p w14:paraId="69EE57B9" w14:textId="77777777" w:rsidR="006269C2" w:rsidRPr="006269C2" w:rsidRDefault="006269C2" w:rsidP="006269C2">
            <w:pPr>
              <w:rPr>
                <w:rFonts w:ascii="Times New Roman" w:eastAsia="Times New Roman" w:hAnsi="Times New Roman"/>
                <w:sz w:val="20"/>
                <w:szCs w:val="20"/>
              </w:rPr>
            </w:pPr>
          </w:p>
        </w:tc>
        <w:tc>
          <w:tcPr>
            <w:tcW w:w="2335" w:type="dxa"/>
          </w:tcPr>
          <w:p w14:paraId="77A8560E"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N.C. Gen. Stat. § 18B-120; N.C. Gen. Stat. § 18B-121; N.C. Gen. Stat. § 18B-122; N.C. Gen. Stat. § 18B-123; Estate of Mullis by Dixon v. Monroe Oil Co., 488 S.E.2d 830 (N.C. Ct. App. 1997), aff’d, 505 S.E.2d 131 (N.C. 1998). </w:t>
            </w:r>
          </w:p>
          <w:p w14:paraId="0FFA4EF9" w14:textId="77777777" w:rsidR="006269C2" w:rsidRPr="006269C2" w:rsidRDefault="006269C2" w:rsidP="006269C2">
            <w:pPr>
              <w:rPr>
                <w:rFonts w:ascii="Verdana" w:hAnsi="Verdana"/>
                <w:sz w:val="16"/>
                <w:szCs w:val="16"/>
              </w:rPr>
            </w:pPr>
          </w:p>
        </w:tc>
      </w:tr>
      <w:tr w:rsidR="006269C2" w:rsidRPr="006269C2" w14:paraId="79354DC5" w14:textId="77777777" w:rsidTr="00FA27C5">
        <w:trPr>
          <w:trHeight w:val="300"/>
        </w:trPr>
        <w:tc>
          <w:tcPr>
            <w:tcW w:w="1541" w:type="dxa"/>
            <w:noWrap/>
            <w:hideMark/>
          </w:tcPr>
          <w:p w14:paraId="7582CE1C"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North Dakota</w:t>
            </w:r>
          </w:p>
        </w:tc>
        <w:tc>
          <w:tcPr>
            <w:tcW w:w="2864" w:type="dxa"/>
          </w:tcPr>
          <w:p w14:paraId="3629F98A"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0356F63B" w14:textId="77777777" w:rsidR="006269C2" w:rsidRPr="006269C2" w:rsidRDefault="006269C2" w:rsidP="006269C2">
            <w:pPr>
              <w:rPr>
                <w:rFonts w:ascii="Verdana" w:hAnsi="Verdana"/>
                <w:sz w:val="16"/>
                <w:szCs w:val="16"/>
              </w:rPr>
            </w:pPr>
            <w:r w:rsidRPr="006269C2">
              <w:rPr>
                <w:rFonts w:ascii="Verdana" w:hAnsi="Verdana"/>
                <w:sz w:val="16"/>
                <w:szCs w:val="16"/>
              </w:rPr>
              <w:t xml:space="preserve">N.D. Cent. Code 5-01-06.1; Hoff v. Elkhorn Bar, 613 F. Supp. 2d 1146 (S.D.N.D 2009); Zueger v. Carlson, 542 N.W.2d 92 (N.D. 1996); </w:t>
            </w:r>
            <w:proofErr w:type="spellStart"/>
            <w:r w:rsidRPr="006269C2">
              <w:rPr>
                <w:rFonts w:ascii="Verdana" w:hAnsi="Verdana"/>
                <w:sz w:val="16"/>
                <w:szCs w:val="16"/>
              </w:rPr>
              <w:t>Thoring</w:t>
            </w:r>
            <w:proofErr w:type="spellEnd"/>
            <w:r w:rsidRPr="006269C2">
              <w:rPr>
                <w:rFonts w:ascii="Verdana" w:hAnsi="Verdana"/>
                <w:sz w:val="16"/>
                <w:szCs w:val="16"/>
              </w:rPr>
              <w:t xml:space="preserve"> v. </w:t>
            </w:r>
            <w:proofErr w:type="spellStart"/>
            <w:r w:rsidRPr="006269C2">
              <w:rPr>
                <w:rFonts w:ascii="Verdana" w:hAnsi="Verdana"/>
                <w:sz w:val="16"/>
                <w:szCs w:val="16"/>
              </w:rPr>
              <w:t>Bottonsek</w:t>
            </w:r>
            <w:proofErr w:type="spellEnd"/>
            <w:r w:rsidRPr="006269C2">
              <w:rPr>
                <w:rFonts w:ascii="Verdana" w:hAnsi="Verdana"/>
                <w:sz w:val="16"/>
                <w:szCs w:val="16"/>
              </w:rPr>
              <w:t>, 350 N.W.2d 586 (N.D. 1984).</w:t>
            </w:r>
          </w:p>
          <w:p w14:paraId="3A30F9C5" w14:textId="77777777" w:rsidR="006269C2" w:rsidRPr="006269C2" w:rsidRDefault="006269C2" w:rsidP="006269C2">
            <w:pPr>
              <w:rPr>
                <w:rFonts w:ascii="Times New Roman" w:eastAsia="Times New Roman" w:hAnsi="Times New Roman"/>
                <w:sz w:val="20"/>
                <w:szCs w:val="20"/>
              </w:rPr>
            </w:pPr>
          </w:p>
        </w:tc>
        <w:tc>
          <w:tcPr>
            <w:tcW w:w="2335" w:type="dxa"/>
          </w:tcPr>
          <w:p w14:paraId="03EAC739"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N.D. Cent. Code § 5-01-06.1; N.D. Cent. Code § 32-21-02; </w:t>
            </w:r>
            <w:proofErr w:type="spellStart"/>
            <w:r w:rsidRPr="006269C2">
              <w:rPr>
                <w:rFonts w:ascii="Verdana" w:hAnsi="Verdana" w:cs="Calibri"/>
                <w:color w:val="000000"/>
                <w:sz w:val="16"/>
                <w:szCs w:val="16"/>
              </w:rPr>
              <w:t>Thoring</w:t>
            </w:r>
            <w:proofErr w:type="spellEnd"/>
            <w:r w:rsidRPr="006269C2">
              <w:rPr>
                <w:rFonts w:ascii="Verdana" w:hAnsi="Verdana" w:cs="Calibri"/>
                <w:color w:val="000000"/>
                <w:sz w:val="16"/>
                <w:szCs w:val="16"/>
              </w:rPr>
              <w:t xml:space="preserve"> v. </w:t>
            </w:r>
            <w:proofErr w:type="spellStart"/>
            <w:r w:rsidRPr="006269C2">
              <w:rPr>
                <w:rFonts w:ascii="Verdana" w:hAnsi="Verdana" w:cs="Calibri"/>
                <w:color w:val="000000"/>
                <w:sz w:val="16"/>
                <w:szCs w:val="16"/>
              </w:rPr>
              <w:t>Bottonsek</w:t>
            </w:r>
            <w:proofErr w:type="spellEnd"/>
            <w:r w:rsidRPr="006269C2">
              <w:rPr>
                <w:rFonts w:ascii="Verdana" w:hAnsi="Verdana" w:cs="Calibri"/>
                <w:color w:val="000000"/>
                <w:sz w:val="16"/>
                <w:szCs w:val="16"/>
              </w:rPr>
              <w:t>, 350 N.W.2d 586 (N.D. 1984).</w:t>
            </w:r>
          </w:p>
          <w:p w14:paraId="60E98236" w14:textId="77777777" w:rsidR="006269C2" w:rsidRPr="006269C2" w:rsidRDefault="006269C2" w:rsidP="006269C2">
            <w:pPr>
              <w:rPr>
                <w:rFonts w:ascii="Verdana" w:hAnsi="Verdana"/>
                <w:sz w:val="16"/>
                <w:szCs w:val="16"/>
              </w:rPr>
            </w:pPr>
          </w:p>
        </w:tc>
      </w:tr>
      <w:tr w:rsidR="006269C2" w:rsidRPr="006269C2" w14:paraId="638A818B" w14:textId="77777777" w:rsidTr="00FA27C5">
        <w:trPr>
          <w:trHeight w:val="300"/>
        </w:trPr>
        <w:tc>
          <w:tcPr>
            <w:tcW w:w="1541" w:type="dxa"/>
            <w:noWrap/>
            <w:hideMark/>
          </w:tcPr>
          <w:p w14:paraId="0CF57DF3"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lastRenderedPageBreak/>
              <w:t>Nebraska</w:t>
            </w:r>
          </w:p>
        </w:tc>
        <w:tc>
          <w:tcPr>
            <w:tcW w:w="2864" w:type="dxa"/>
          </w:tcPr>
          <w:p w14:paraId="40ED7EA9"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7220F9C0" w14:textId="77777777" w:rsidR="006269C2" w:rsidRPr="006269C2" w:rsidRDefault="006269C2" w:rsidP="006269C2">
            <w:pPr>
              <w:rPr>
                <w:rFonts w:ascii="Verdana" w:hAnsi="Verdana"/>
                <w:sz w:val="16"/>
                <w:szCs w:val="16"/>
              </w:rPr>
            </w:pPr>
            <w:r w:rsidRPr="006269C2">
              <w:rPr>
                <w:rFonts w:ascii="Verdana" w:hAnsi="Verdana"/>
                <w:sz w:val="16"/>
                <w:szCs w:val="16"/>
              </w:rPr>
              <w:t>Arant v. G.H., 428 N.W.2d 631 (Neb. 1988)</w:t>
            </w:r>
          </w:p>
          <w:p w14:paraId="761A2B37" w14:textId="77777777" w:rsidR="006269C2" w:rsidRPr="006269C2" w:rsidRDefault="006269C2" w:rsidP="006269C2">
            <w:pPr>
              <w:rPr>
                <w:rFonts w:ascii="Times New Roman" w:eastAsia="Times New Roman" w:hAnsi="Times New Roman"/>
                <w:sz w:val="20"/>
                <w:szCs w:val="20"/>
              </w:rPr>
            </w:pPr>
          </w:p>
        </w:tc>
        <w:tc>
          <w:tcPr>
            <w:tcW w:w="2335" w:type="dxa"/>
          </w:tcPr>
          <w:p w14:paraId="64F8CF8B"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Neb. Rev. Stat. § 53-401; Neb. Rev. Stat. § 53-402; Neb. Rev. Stat. § 53-403; Neb. Rev. Stat. § 53-404; Neb. Rev. Stat. § 53-405; Neb. Rev. Stat. § 53-406; Neb. Rev. Stat. § 53-407; Neb. Rev. Stat. § 53-408; Pelzek v. American Legion, 463 N.W.2d 321 (Neb. 1990).</w:t>
            </w:r>
          </w:p>
          <w:p w14:paraId="383EFD5C" w14:textId="77777777" w:rsidR="006269C2" w:rsidRPr="006269C2" w:rsidRDefault="006269C2" w:rsidP="006269C2">
            <w:pPr>
              <w:rPr>
                <w:rFonts w:ascii="Verdana" w:hAnsi="Verdana"/>
                <w:sz w:val="16"/>
                <w:szCs w:val="16"/>
              </w:rPr>
            </w:pPr>
          </w:p>
        </w:tc>
      </w:tr>
      <w:tr w:rsidR="006269C2" w:rsidRPr="006269C2" w14:paraId="3454C3E6" w14:textId="77777777" w:rsidTr="00FA27C5">
        <w:trPr>
          <w:trHeight w:val="300"/>
        </w:trPr>
        <w:tc>
          <w:tcPr>
            <w:tcW w:w="1541" w:type="dxa"/>
            <w:noWrap/>
            <w:hideMark/>
          </w:tcPr>
          <w:p w14:paraId="5398AA81"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New Hampshire</w:t>
            </w:r>
          </w:p>
        </w:tc>
        <w:tc>
          <w:tcPr>
            <w:tcW w:w="2864" w:type="dxa"/>
          </w:tcPr>
          <w:p w14:paraId="22D1FE1E"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6D0E83E9" w14:textId="77777777" w:rsidR="006269C2" w:rsidRPr="006269C2" w:rsidRDefault="006269C2" w:rsidP="006269C2">
            <w:pPr>
              <w:rPr>
                <w:rFonts w:ascii="Verdana" w:hAnsi="Verdana"/>
                <w:sz w:val="16"/>
                <w:szCs w:val="16"/>
              </w:rPr>
            </w:pPr>
            <w:r w:rsidRPr="006269C2">
              <w:rPr>
                <w:rFonts w:ascii="Verdana" w:hAnsi="Verdana"/>
                <w:sz w:val="16"/>
                <w:szCs w:val="16"/>
              </w:rPr>
              <w:t xml:space="preserve">N.H. Rev. Stat. </w:t>
            </w:r>
            <w:proofErr w:type="spellStart"/>
            <w:r w:rsidRPr="006269C2">
              <w:rPr>
                <w:rFonts w:ascii="Verdana" w:hAnsi="Verdana"/>
                <w:sz w:val="16"/>
                <w:szCs w:val="16"/>
              </w:rPr>
              <w:t>ch.</w:t>
            </w:r>
            <w:proofErr w:type="spellEnd"/>
            <w:r w:rsidRPr="006269C2">
              <w:rPr>
                <w:rFonts w:ascii="Verdana" w:hAnsi="Verdana"/>
                <w:sz w:val="16"/>
                <w:szCs w:val="16"/>
              </w:rPr>
              <w:t xml:space="preserve"> 507-F, esp. 507-F:4 </w:t>
            </w:r>
          </w:p>
          <w:p w14:paraId="60E778A1" w14:textId="77777777" w:rsidR="006269C2" w:rsidRPr="006269C2" w:rsidRDefault="006269C2" w:rsidP="006269C2">
            <w:pPr>
              <w:rPr>
                <w:rFonts w:ascii="Times New Roman" w:eastAsia="Times New Roman" w:hAnsi="Times New Roman"/>
                <w:sz w:val="20"/>
                <w:szCs w:val="20"/>
              </w:rPr>
            </w:pPr>
          </w:p>
        </w:tc>
        <w:tc>
          <w:tcPr>
            <w:tcW w:w="2335" w:type="dxa"/>
          </w:tcPr>
          <w:p w14:paraId="2B0BA36A"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N.H. Rev. Stat. Ann. § 507-F:1, N.H. Rev. Stat. Ann. § 507-F:2, N.H. Rev. Stat. Ann. § 507-F:3, N.H. Rev. Stat. Ann. § 507-F:4, N.H. Rev. Stat. Ann. § 507-F:5, N.H. Rev. Stat. Ann. § 507-F:6, N.H. Rev. Stat. Ann. § 507-F:7, N.H. Rev. Stat. Ann. § 507-F:8.</w:t>
            </w:r>
          </w:p>
          <w:p w14:paraId="7888D4B3" w14:textId="77777777" w:rsidR="006269C2" w:rsidRPr="006269C2" w:rsidRDefault="006269C2" w:rsidP="006269C2">
            <w:pPr>
              <w:rPr>
                <w:rFonts w:ascii="Verdana" w:hAnsi="Verdana"/>
                <w:sz w:val="16"/>
                <w:szCs w:val="16"/>
              </w:rPr>
            </w:pPr>
          </w:p>
        </w:tc>
      </w:tr>
      <w:tr w:rsidR="006269C2" w:rsidRPr="006269C2" w14:paraId="3919843D" w14:textId="77777777" w:rsidTr="00FA27C5">
        <w:trPr>
          <w:trHeight w:val="300"/>
        </w:trPr>
        <w:tc>
          <w:tcPr>
            <w:tcW w:w="1541" w:type="dxa"/>
            <w:noWrap/>
            <w:hideMark/>
          </w:tcPr>
          <w:p w14:paraId="32EC258C"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New Jersey</w:t>
            </w:r>
          </w:p>
        </w:tc>
        <w:tc>
          <w:tcPr>
            <w:tcW w:w="2864" w:type="dxa"/>
          </w:tcPr>
          <w:p w14:paraId="28694148"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68FA1D54" w14:textId="77777777" w:rsidR="006269C2" w:rsidRPr="006269C2" w:rsidRDefault="006269C2" w:rsidP="006269C2">
            <w:pPr>
              <w:rPr>
                <w:rFonts w:ascii="Verdana" w:hAnsi="Verdana"/>
                <w:sz w:val="16"/>
                <w:szCs w:val="16"/>
              </w:rPr>
            </w:pPr>
            <w:r w:rsidRPr="006269C2">
              <w:rPr>
                <w:rFonts w:ascii="Verdana" w:hAnsi="Verdana"/>
                <w:sz w:val="16"/>
                <w:szCs w:val="16"/>
              </w:rPr>
              <w:t xml:space="preserve">N.J. Stat. 2A:22A, esp. 2A:22A-4, 22A-5; Fisch v. Richard </w:t>
            </w:r>
            <w:proofErr w:type="spellStart"/>
            <w:r w:rsidRPr="006269C2">
              <w:rPr>
                <w:rFonts w:ascii="Verdana" w:hAnsi="Verdana"/>
                <w:sz w:val="16"/>
                <w:szCs w:val="16"/>
              </w:rPr>
              <w:t>Bellshot</w:t>
            </w:r>
            <w:proofErr w:type="spellEnd"/>
            <w:r w:rsidRPr="006269C2">
              <w:rPr>
                <w:rFonts w:ascii="Verdana" w:hAnsi="Verdana"/>
                <w:sz w:val="16"/>
                <w:szCs w:val="16"/>
              </w:rPr>
              <w:t>, 640 A.2d 801 (N.J. 1994)</w:t>
            </w:r>
          </w:p>
          <w:p w14:paraId="5E4405DE" w14:textId="77777777" w:rsidR="006269C2" w:rsidRPr="006269C2" w:rsidRDefault="006269C2" w:rsidP="006269C2">
            <w:pPr>
              <w:rPr>
                <w:rFonts w:ascii="Times New Roman" w:eastAsia="Times New Roman" w:hAnsi="Times New Roman"/>
                <w:sz w:val="20"/>
                <w:szCs w:val="20"/>
              </w:rPr>
            </w:pPr>
          </w:p>
        </w:tc>
        <w:tc>
          <w:tcPr>
            <w:tcW w:w="2335" w:type="dxa"/>
          </w:tcPr>
          <w:p w14:paraId="72A1F421"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N.J. Rev. Stat. § 2A:22A-5. </w:t>
            </w:r>
          </w:p>
          <w:p w14:paraId="4A1F9810" w14:textId="77777777" w:rsidR="006269C2" w:rsidRPr="006269C2" w:rsidRDefault="006269C2" w:rsidP="006269C2">
            <w:pPr>
              <w:rPr>
                <w:rFonts w:ascii="Verdana" w:hAnsi="Verdana"/>
                <w:sz w:val="16"/>
                <w:szCs w:val="16"/>
              </w:rPr>
            </w:pPr>
          </w:p>
        </w:tc>
      </w:tr>
      <w:tr w:rsidR="006269C2" w:rsidRPr="006269C2" w14:paraId="28036C14" w14:textId="77777777" w:rsidTr="00FA27C5">
        <w:trPr>
          <w:trHeight w:val="300"/>
        </w:trPr>
        <w:tc>
          <w:tcPr>
            <w:tcW w:w="1541" w:type="dxa"/>
            <w:noWrap/>
            <w:hideMark/>
          </w:tcPr>
          <w:p w14:paraId="22F2FD9D"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New Mexico</w:t>
            </w:r>
          </w:p>
        </w:tc>
        <w:tc>
          <w:tcPr>
            <w:tcW w:w="2864" w:type="dxa"/>
          </w:tcPr>
          <w:p w14:paraId="5EF847A0"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75E0ABEC" w14:textId="77777777" w:rsidR="006269C2" w:rsidRPr="006269C2" w:rsidRDefault="006269C2" w:rsidP="006269C2">
            <w:pPr>
              <w:rPr>
                <w:rFonts w:ascii="Verdana" w:hAnsi="Verdana"/>
                <w:sz w:val="16"/>
                <w:szCs w:val="16"/>
              </w:rPr>
            </w:pPr>
            <w:r w:rsidRPr="006269C2">
              <w:rPr>
                <w:rFonts w:ascii="Verdana" w:hAnsi="Verdana"/>
                <w:sz w:val="16"/>
                <w:szCs w:val="16"/>
              </w:rPr>
              <w:t>N.M. Stat. 41-11-1; Trujillo v. City of Albuquerque, 965 P.2d 305, 314 (N.M. 1998)</w:t>
            </w:r>
          </w:p>
          <w:p w14:paraId="47308507" w14:textId="77777777" w:rsidR="006269C2" w:rsidRPr="006269C2" w:rsidRDefault="006269C2" w:rsidP="006269C2">
            <w:pPr>
              <w:rPr>
                <w:rFonts w:ascii="Times New Roman" w:eastAsia="Times New Roman" w:hAnsi="Times New Roman"/>
                <w:sz w:val="20"/>
                <w:szCs w:val="20"/>
              </w:rPr>
            </w:pPr>
          </w:p>
        </w:tc>
        <w:tc>
          <w:tcPr>
            <w:tcW w:w="2335" w:type="dxa"/>
          </w:tcPr>
          <w:p w14:paraId="2B6C46F8"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N.M. Stat. Ann. § 41-11-1; Trujillo v. City of Albuquerque, 965 P.2d 305 (N.M. 1998).</w:t>
            </w:r>
          </w:p>
          <w:p w14:paraId="73EB615F" w14:textId="77777777" w:rsidR="006269C2" w:rsidRPr="006269C2" w:rsidRDefault="006269C2" w:rsidP="006269C2">
            <w:pPr>
              <w:rPr>
                <w:rFonts w:ascii="Verdana" w:hAnsi="Verdana"/>
                <w:sz w:val="16"/>
                <w:szCs w:val="16"/>
              </w:rPr>
            </w:pPr>
          </w:p>
        </w:tc>
      </w:tr>
      <w:tr w:rsidR="006269C2" w:rsidRPr="006269C2" w14:paraId="7D387290" w14:textId="77777777" w:rsidTr="00FA27C5">
        <w:trPr>
          <w:trHeight w:val="300"/>
        </w:trPr>
        <w:tc>
          <w:tcPr>
            <w:tcW w:w="1541" w:type="dxa"/>
            <w:noWrap/>
            <w:hideMark/>
          </w:tcPr>
          <w:p w14:paraId="26560AC4"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Nevada</w:t>
            </w:r>
          </w:p>
        </w:tc>
        <w:tc>
          <w:tcPr>
            <w:tcW w:w="2864" w:type="dxa"/>
          </w:tcPr>
          <w:p w14:paraId="4DE7D054"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no commercial host liability</w:t>
            </w:r>
          </w:p>
        </w:tc>
        <w:tc>
          <w:tcPr>
            <w:tcW w:w="2610" w:type="dxa"/>
          </w:tcPr>
          <w:p w14:paraId="512FF929" w14:textId="77777777" w:rsidR="006269C2" w:rsidRPr="006269C2" w:rsidRDefault="006269C2" w:rsidP="006269C2">
            <w:pPr>
              <w:rPr>
                <w:rFonts w:ascii="Verdana" w:hAnsi="Verdana"/>
                <w:sz w:val="16"/>
                <w:szCs w:val="16"/>
              </w:rPr>
            </w:pPr>
            <w:r w:rsidRPr="006269C2">
              <w:rPr>
                <w:rFonts w:ascii="Verdana" w:hAnsi="Verdana"/>
                <w:sz w:val="16"/>
                <w:szCs w:val="16"/>
              </w:rPr>
              <w:t xml:space="preserve">Nev. Rev. Stat. 41.1305; Hinegardner v. </w:t>
            </w:r>
            <w:proofErr w:type="spellStart"/>
            <w:r w:rsidRPr="006269C2">
              <w:rPr>
                <w:rFonts w:ascii="Verdana" w:hAnsi="Verdana"/>
                <w:sz w:val="16"/>
                <w:szCs w:val="16"/>
              </w:rPr>
              <w:t>Marcor</w:t>
            </w:r>
            <w:proofErr w:type="spellEnd"/>
            <w:r w:rsidRPr="006269C2">
              <w:rPr>
                <w:rFonts w:ascii="Verdana" w:hAnsi="Verdana"/>
                <w:sz w:val="16"/>
                <w:szCs w:val="16"/>
              </w:rPr>
              <w:t xml:space="preserve"> Resorts, 844 P.2d 800 (Nev. 1992)</w:t>
            </w:r>
          </w:p>
          <w:p w14:paraId="38768126" w14:textId="77777777" w:rsidR="006269C2" w:rsidRPr="006269C2" w:rsidRDefault="006269C2" w:rsidP="006269C2">
            <w:pPr>
              <w:rPr>
                <w:rFonts w:ascii="Times New Roman" w:eastAsia="Times New Roman" w:hAnsi="Times New Roman"/>
                <w:sz w:val="20"/>
                <w:szCs w:val="20"/>
              </w:rPr>
            </w:pPr>
          </w:p>
        </w:tc>
        <w:tc>
          <w:tcPr>
            <w:tcW w:w="2335" w:type="dxa"/>
          </w:tcPr>
          <w:p w14:paraId="35454DD2"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Nev. Rev. Stat. § 41.1305; Hinegardner v. </w:t>
            </w:r>
            <w:proofErr w:type="spellStart"/>
            <w:r w:rsidRPr="006269C2">
              <w:rPr>
                <w:rFonts w:ascii="Verdana" w:hAnsi="Verdana" w:cs="Calibri"/>
                <w:color w:val="000000"/>
                <w:sz w:val="16"/>
                <w:szCs w:val="16"/>
              </w:rPr>
              <w:t>Marcor</w:t>
            </w:r>
            <w:proofErr w:type="spellEnd"/>
            <w:r w:rsidRPr="006269C2">
              <w:rPr>
                <w:rFonts w:ascii="Verdana" w:hAnsi="Verdana" w:cs="Calibri"/>
                <w:color w:val="000000"/>
                <w:sz w:val="16"/>
                <w:szCs w:val="16"/>
              </w:rPr>
              <w:t xml:space="preserve"> Resorts, L.P.V., 844 P.2d 800 (Nev. 1992).</w:t>
            </w:r>
          </w:p>
          <w:p w14:paraId="3EC741EA" w14:textId="77777777" w:rsidR="006269C2" w:rsidRPr="006269C2" w:rsidRDefault="006269C2" w:rsidP="006269C2">
            <w:pPr>
              <w:rPr>
                <w:rFonts w:ascii="Verdana" w:hAnsi="Verdana"/>
                <w:sz w:val="16"/>
                <w:szCs w:val="16"/>
              </w:rPr>
            </w:pPr>
          </w:p>
        </w:tc>
      </w:tr>
      <w:tr w:rsidR="006269C2" w:rsidRPr="006269C2" w14:paraId="6D95A402" w14:textId="77777777" w:rsidTr="00FA27C5">
        <w:trPr>
          <w:trHeight w:val="300"/>
        </w:trPr>
        <w:tc>
          <w:tcPr>
            <w:tcW w:w="1541" w:type="dxa"/>
            <w:noWrap/>
            <w:hideMark/>
          </w:tcPr>
          <w:p w14:paraId="7990063B"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New York</w:t>
            </w:r>
          </w:p>
        </w:tc>
        <w:tc>
          <w:tcPr>
            <w:tcW w:w="2864" w:type="dxa"/>
          </w:tcPr>
          <w:p w14:paraId="254BF275"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6DA13111" w14:textId="77777777" w:rsidR="006269C2" w:rsidRPr="006269C2" w:rsidRDefault="006269C2" w:rsidP="006269C2">
            <w:pPr>
              <w:rPr>
                <w:rFonts w:ascii="Verdana" w:hAnsi="Verdana"/>
                <w:sz w:val="16"/>
                <w:szCs w:val="16"/>
              </w:rPr>
            </w:pPr>
            <w:r w:rsidRPr="006269C2">
              <w:rPr>
                <w:rFonts w:ascii="Verdana" w:hAnsi="Verdana"/>
                <w:sz w:val="16"/>
                <w:szCs w:val="16"/>
              </w:rPr>
              <w:t xml:space="preserve">N.Y. Gen. </w:t>
            </w:r>
            <w:proofErr w:type="spellStart"/>
            <w:r w:rsidRPr="006269C2">
              <w:rPr>
                <w:rFonts w:ascii="Verdana" w:hAnsi="Verdana"/>
                <w:sz w:val="16"/>
                <w:szCs w:val="16"/>
              </w:rPr>
              <w:t>Oblig</w:t>
            </w:r>
            <w:proofErr w:type="spellEnd"/>
            <w:r w:rsidRPr="006269C2">
              <w:rPr>
                <w:rFonts w:ascii="Verdana" w:hAnsi="Verdana"/>
                <w:sz w:val="16"/>
                <w:szCs w:val="16"/>
              </w:rPr>
              <w:t xml:space="preserve">. </w:t>
            </w:r>
            <w:proofErr w:type="gramStart"/>
            <w:r w:rsidRPr="006269C2">
              <w:rPr>
                <w:rFonts w:ascii="Verdana" w:hAnsi="Verdana"/>
                <w:sz w:val="16"/>
                <w:szCs w:val="16"/>
              </w:rPr>
              <w:t>Law  11</w:t>
            </w:r>
            <w:proofErr w:type="gramEnd"/>
            <w:r w:rsidRPr="006269C2">
              <w:rPr>
                <w:rFonts w:ascii="Verdana" w:hAnsi="Verdana"/>
                <w:sz w:val="16"/>
                <w:szCs w:val="16"/>
              </w:rPr>
              <w:t xml:space="preserve">-100; Sherman v. Robinson, 606 N.E.2d 1365 (N.Y. 1992); D'Amico v. Christie, 518 N.E.2d 896 (N.Y. 1987) </w:t>
            </w:r>
          </w:p>
          <w:p w14:paraId="5BE44CB7" w14:textId="77777777" w:rsidR="006269C2" w:rsidRPr="006269C2" w:rsidRDefault="006269C2" w:rsidP="006269C2">
            <w:pPr>
              <w:rPr>
                <w:rFonts w:ascii="Times New Roman" w:eastAsia="Times New Roman" w:hAnsi="Times New Roman"/>
                <w:sz w:val="20"/>
                <w:szCs w:val="20"/>
              </w:rPr>
            </w:pPr>
          </w:p>
        </w:tc>
        <w:tc>
          <w:tcPr>
            <w:tcW w:w="2335" w:type="dxa"/>
          </w:tcPr>
          <w:p w14:paraId="605FE5EA"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N.Y. Gen. </w:t>
            </w:r>
            <w:proofErr w:type="spellStart"/>
            <w:r w:rsidRPr="006269C2">
              <w:rPr>
                <w:rFonts w:ascii="Verdana" w:hAnsi="Verdana" w:cs="Calibri"/>
                <w:color w:val="000000"/>
                <w:sz w:val="16"/>
                <w:szCs w:val="16"/>
              </w:rPr>
              <w:t>Oblig</w:t>
            </w:r>
            <w:proofErr w:type="spellEnd"/>
            <w:r w:rsidRPr="006269C2">
              <w:rPr>
                <w:rFonts w:ascii="Verdana" w:hAnsi="Verdana" w:cs="Calibri"/>
                <w:color w:val="000000"/>
                <w:sz w:val="16"/>
                <w:szCs w:val="16"/>
              </w:rPr>
              <w:t>. Law § 11-100.</w:t>
            </w:r>
          </w:p>
          <w:p w14:paraId="5A042F41" w14:textId="77777777" w:rsidR="006269C2" w:rsidRPr="006269C2" w:rsidRDefault="006269C2" w:rsidP="006269C2">
            <w:pPr>
              <w:rPr>
                <w:rFonts w:ascii="Verdana" w:hAnsi="Verdana"/>
                <w:sz w:val="16"/>
                <w:szCs w:val="16"/>
              </w:rPr>
            </w:pPr>
          </w:p>
        </w:tc>
      </w:tr>
      <w:tr w:rsidR="006269C2" w:rsidRPr="006269C2" w14:paraId="1D8CDD89" w14:textId="77777777" w:rsidTr="00FA27C5">
        <w:trPr>
          <w:trHeight w:val="300"/>
        </w:trPr>
        <w:tc>
          <w:tcPr>
            <w:tcW w:w="1541" w:type="dxa"/>
            <w:noWrap/>
            <w:hideMark/>
          </w:tcPr>
          <w:p w14:paraId="20C1C0F0"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Ohio</w:t>
            </w:r>
          </w:p>
        </w:tc>
        <w:tc>
          <w:tcPr>
            <w:tcW w:w="2864" w:type="dxa"/>
          </w:tcPr>
          <w:p w14:paraId="4413735B"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393D3E6E" w14:textId="77777777" w:rsidR="006269C2" w:rsidRPr="006269C2" w:rsidRDefault="006269C2" w:rsidP="006269C2">
            <w:pPr>
              <w:rPr>
                <w:rFonts w:ascii="Verdana" w:hAnsi="Verdana"/>
                <w:sz w:val="16"/>
                <w:szCs w:val="16"/>
              </w:rPr>
            </w:pPr>
            <w:r w:rsidRPr="006269C2">
              <w:rPr>
                <w:rFonts w:ascii="Verdana" w:hAnsi="Verdana"/>
                <w:sz w:val="16"/>
                <w:szCs w:val="16"/>
              </w:rPr>
              <w:t xml:space="preserve">Ohio Rev. Code 4301.22(B), 4399.18; Lesnau v </w:t>
            </w:r>
            <w:proofErr w:type="spellStart"/>
            <w:r w:rsidRPr="006269C2">
              <w:rPr>
                <w:rFonts w:ascii="Verdana" w:hAnsi="Verdana"/>
                <w:sz w:val="16"/>
                <w:szCs w:val="16"/>
              </w:rPr>
              <w:t>Andate</w:t>
            </w:r>
            <w:proofErr w:type="spellEnd"/>
            <w:r w:rsidRPr="006269C2">
              <w:rPr>
                <w:rFonts w:ascii="Verdana" w:hAnsi="Verdana"/>
                <w:sz w:val="16"/>
                <w:szCs w:val="16"/>
              </w:rPr>
              <w:t xml:space="preserve"> Enterprises, 756 N.E.2d 97 (Ohio 2001); Studer v. Veterans of Foreign Wars Post 3767, 925 N.E.2d 629 (Ohio Ct. App. 2009).</w:t>
            </w:r>
          </w:p>
          <w:p w14:paraId="7D90C9AA" w14:textId="77777777" w:rsidR="006269C2" w:rsidRPr="006269C2" w:rsidRDefault="006269C2" w:rsidP="006269C2">
            <w:pPr>
              <w:rPr>
                <w:rFonts w:ascii="Times New Roman" w:eastAsia="Times New Roman" w:hAnsi="Times New Roman"/>
                <w:sz w:val="20"/>
                <w:szCs w:val="20"/>
              </w:rPr>
            </w:pPr>
          </w:p>
        </w:tc>
        <w:tc>
          <w:tcPr>
            <w:tcW w:w="2335" w:type="dxa"/>
          </w:tcPr>
          <w:p w14:paraId="36957871"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Ohio Rev. Code § 4399.18; Ohio Rev. Code § 4301.69; Lesnau v. </w:t>
            </w:r>
            <w:proofErr w:type="spellStart"/>
            <w:r w:rsidRPr="006269C2">
              <w:rPr>
                <w:rFonts w:ascii="Verdana" w:hAnsi="Verdana" w:cs="Calibri"/>
                <w:color w:val="000000"/>
                <w:sz w:val="16"/>
                <w:szCs w:val="16"/>
              </w:rPr>
              <w:t>Andate</w:t>
            </w:r>
            <w:proofErr w:type="spellEnd"/>
            <w:r w:rsidRPr="006269C2">
              <w:rPr>
                <w:rFonts w:ascii="Verdana" w:hAnsi="Verdana" w:cs="Calibri"/>
                <w:color w:val="000000"/>
                <w:sz w:val="16"/>
                <w:szCs w:val="16"/>
              </w:rPr>
              <w:t xml:space="preserve"> Enters., Inc., 756 N.E.2d 97 (Ohio 2001).</w:t>
            </w:r>
          </w:p>
          <w:p w14:paraId="1F3A604B" w14:textId="77777777" w:rsidR="006269C2" w:rsidRPr="006269C2" w:rsidRDefault="006269C2" w:rsidP="006269C2">
            <w:pPr>
              <w:rPr>
                <w:rFonts w:ascii="Verdana" w:hAnsi="Verdana"/>
                <w:sz w:val="16"/>
                <w:szCs w:val="16"/>
              </w:rPr>
            </w:pPr>
          </w:p>
        </w:tc>
      </w:tr>
      <w:tr w:rsidR="006269C2" w:rsidRPr="006269C2" w14:paraId="5F2B35A2" w14:textId="77777777" w:rsidTr="00FA27C5">
        <w:trPr>
          <w:trHeight w:val="300"/>
        </w:trPr>
        <w:tc>
          <w:tcPr>
            <w:tcW w:w="1541" w:type="dxa"/>
            <w:noWrap/>
            <w:hideMark/>
          </w:tcPr>
          <w:p w14:paraId="401BA4C4"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lastRenderedPageBreak/>
              <w:t>Oklahoma</w:t>
            </w:r>
          </w:p>
        </w:tc>
        <w:tc>
          <w:tcPr>
            <w:tcW w:w="2864" w:type="dxa"/>
          </w:tcPr>
          <w:p w14:paraId="7F8CBE6D"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557269E3" w14:textId="77777777" w:rsidR="006269C2" w:rsidRPr="006269C2" w:rsidRDefault="006269C2" w:rsidP="006269C2">
            <w:pPr>
              <w:rPr>
                <w:rFonts w:ascii="Verdana" w:hAnsi="Verdana"/>
                <w:sz w:val="16"/>
                <w:szCs w:val="16"/>
              </w:rPr>
            </w:pPr>
            <w:r w:rsidRPr="006269C2">
              <w:rPr>
                <w:rFonts w:ascii="Verdana" w:hAnsi="Verdana"/>
                <w:sz w:val="16"/>
                <w:szCs w:val="16"/>
              </w:rPr>
              <w:t>Boyle v. ASAP Energy, Inc., 408 P.3d 183 (2017); Brigance v. Velvet Dove Restaurant, 725 P.2d 300 (Okla. 1986)</w:t>
            </w:r>
          </w:p>
          <w:p w14:paraId="215500E9" w14:textId="77777777" w:rsidR="006269C2" w:rsidRPr="006269C2" w:rsidRDefault="006269C2" w:rsidP="006269C2">
            <w:pPr>
              <w:rPr>
                <w:rFonts w:ascii="Times New Roman" w:eastAsia="Times New Roman" w:hAnsi="Times New Roman"/>
                <w:sz w:val="20"/>
                <w:szCs w:val="20"/>
              </w:rPr>
            </w:pPr>
          </w:p>
        </w:tc>
        <w:tc>
          <w:tcPr>
            <w:tcW w:w="2335" w:type="dxa"/>
          </w:tcPr>
          <w:p w14:paraId="55109D25"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Mansfield v. Circle K. Corp., 877 P.2d 1130 (Okla. 1994); Busby v. Quail Creek Golf and Country Club, 885 P.2d 1326 (Okla. 1994); Tomlinson v. Love's Country Stores, Inc., 854 P.2d 910 (Okla. 1993); Brigance v. Velvet Dove Restaurant, Inc., 725 P.2d 300 (Okla. 1986).</w:t>
            </w:r>
          </w:p>
          <w:p w14:paraId="79697E9D" w14:textId="77777777" w:rsidR="006269C2" w:rsidRPr="006269C2" w:rsidRDefault="006269C2" w:rsidP="006269C2">
            <w:pPr>
              <w:rPr>
                <w:rFonts w:ascii="Verdana" w:hAnsi="Verdana"/>
                <w:sz w:val="16"/>
                <w:szCs w:val="16"/>
              </w:rPr>
            </w:pPr>
          </w:p>
        </w:tc>
      </w:tr>
      <w:tr w:rsidR="006269C2" w:rsidRPr="006269C2" w14:paraId="0C898FA3" w14:textId="77777777" w:rsidTr="00FA27C5">
        <w:trPr>
          <w:trHeight w:val="300"/>
        </w:trPr>
        <w:tc>
          <w:tcPr>
            <w:tcW w:w="1541" w:type="dxa"/>
            <w:noWrap/>
            <w:hideMark/>
          </w:tcPr>
          <w:p w14:paraId="17B57793"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Oregon</w:t>
            </w:r>
          </w:p>
        </w:tc>
        <w:tc>
          <w:tcPr>
            <w:tcW w:w="2864" w:type="dxa"/>
          </w:tcPr>
          <w:p w14:paraId="27B8EF36"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7CBDB5EB" w14:textId="77777777" w:rsidR="006269C2" w:rsidRPr="006269C2" w:rsidRDefault="006269C2" w:rsidP="006269C2">
            <w:pPr>
              <w:rPr>
                <w:rFonts w:ascii="Verdana" w:hAnsi="Verdana"/>
                <w:sz w:val="16"/>
                <w:szCs w:val="16"/>
              </w:rPr>
            </w:pPr>
            <w:r w:rsidRPr="006269C2">
              <w:rPr>
                <w:rFonts w:ascii="Verdana" w:hAnsi="Verdana"/>
                <w:sz w:val="16"/>
                <w:szCs w:val="16"/>
              </w:rPr>
              <w:t>Or. Rev. Stat. 471.565(2); Hawkins v. Conklin, 767 P.2d 66 (Ore. 1988)</w:t>
            </w:r>
          </w:p>
          <w:p w14:paraId="14F8E745" w14:textId="77777777" w:rsidR="006269C2" w:rsidRPr="006269C2" w:rsidRDefault="006269C2" w:rsidP="006269C2">
            <w:pPr>
              <w:rPr>
                <w:rFonts w:ascii="Times New Roman" w:eastAsia="Times New Roman" w:hAnsi="Times New Roman"/>
                <w:sz w:val="20"/>
                <w:szCs w:val="20"/>
              </w:rPr>
            </w:pPr>
          </w:p>
        </w:tc>
        <w:tc>
          <w:tcPr>
            <w:tcW w:w="2335" w:type="dxa"/>
          </w:tcPr>
          <w:p w14:paraId="2BCCEEF3"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Or. Rev. Stat. § 471.567. </w:t>
            </w:r>
          </w:p>
          <w:p w14:paraId="6FF7B28C" w14:textId="77777777" w:rsidR="006269C2" w:rsidRPr="006269C2" w:rsidRDefault="006269C2" w:rsidP="006269C2">
            <w:pPr>
              <w:rPr>
                <w:rFonts w:ascii="Verdana" w:hAnsi="Verdana"/>
                <w:sz w:val="16"/>
                <w:szCs w:val="16"/>
              </w:rPr>
            </w:pPr>
          </w:p>
        </w:tc>
      </w:tr>
      <w:tr w:rsidR="006269C2" w:rsidRPr="006269C2" w14:paraId="12BC37DE" w14:textId="77777777" w:rsidTr="00FA27C5">
        <w:trPr>
          <w:trHeight w:val="300"/>
        </w:trPr>
        <w:tc>
          <w:tcPr>
            <w:tcW w:w="1541" w:type="dxa"/>
            <w:noWrap/>
            <w:hideMark/>
          </w:tcPr>
          <w:p w14:paraId="14580D8D"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Pennsylvania</w:t>
            </w:r>
          </w:p>
        </w:tc>
        <w:tc>
          <w:tcPr>
            <w:tcW w:w="2864" w:type="dxa"/>
          </w:tcPr>
          <w:p w14:paraId="110C8995"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2906C4D0" w14:textId="77777777" w:rsidR="006269C2" w:rsidRPr="006269C2" w:rsidRDefault="006269C2" w:rsidP="006269C2">
            <w:pPr>
              <w:rPr>
                <w:rFonts w:ascii="Verdana" w:hAnsi="Verdana"/>
                <w:sz w:val="16"/>
                <w:szCs w:val="16"/>
              </w:rPr>
            </w:pPr>
            <w:r w:rsidRPr="006269C2">
              <w:rPr>
                <w:rFonts w:ascii="Verdana" w:hAnsi="Verdana"/>
                <w:sz w:val="16"/>
                <w:szCs w:val="16"/>
              </w:rPr>
              <w:t xml:space="preserve">Pa. Stat. tit. 47,4-493(1), 4-497; Jardine v. </w:t>
            </w:r>
            <w:proofErr w:type="spellStart"/>
            <w:r w:rsidRPr="006269C2">
              <w:rPr>
                <w:rFonts w:ascii="Verdana" w:hAnsi="Verdana"/>
                <w:sz w:val="16"/>
                <w:szCs w:val="16"/>
              </w:rPr>
              <w:t>Uper</w:t>
            </w:r>
            <w:proofErr w:type="spellEnd"/>
            <w:r w:rsidRPr="006269C2">
              <w:rPr>
                <w:rFonts w:ascii="Verdana" w:hAnsi="Verdana"/>
                <w:sz w:val="16"/>
                <w:szCs w:val="16"/>
              </w:rPr>
              <w:t xml:space="preserve"> Darby Lodge No. 1973, 198 A.2d 550 (Pa. 1964); Rivero v. Timblin, 12 Pa. D. &amp; C.5th 233 (2010)</w:t>
            </w:r>
          </w:p>
          <w:p w14:paraId="03B9356F" w14:textId="77777777" w:rsidR="006269C2" w:rsidRPr="006269C2" w:rsidRDefault="006269C2" w:rsidP="006269C2">
            <w:pPr>
              <w:rPr>
                <w:rFonts w:ascii="Times New Roman" w:eastAsia="Times New Roman" w:hAnsi="Times New Roman"/>
                <w:sz w:val="20"/>
                <w:szCs w:val="20"/>
              </w:rPr>
            </w:pPr>
          </w:p>
        </w:tc>
        <w:tc>
          <w:tcPr>
            <w:tcW w:w="2335" w:type="dxa"/>
          </w:tcPr>
          <w:p w14:paraId="73439CF1"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47 Pa. Cons. Stat. § 4-493; Matthews v. Konieczny, 527 A.2d 508 (Pa. 1987).</w:t>
            </w:r>
          </w:p>
          <w:p w14:paraId="03E8BD8B" w14:textId="77777777" w:rsidR="006269C2" w:rsidRPr="006269C2" w:rsidRDefault="006269C2" w:rsidP="006269C2">
            <w:pPr>
              <w:rPr>
                <w:rFonts w:ascii="Verdana" w:hAnsi="Verdana"/>
                <w:sz w:val="16"/>
                <w:szCs w:val="16"/>
              </w:rPr>
            </w:pPr>
          </w:p>
        </w:tc>
      </w:tr>
      <w:tr w:rsidR="006269C2" w:rsidRPr="006269C2" w14:paraId="3BE87798" w14:textId="77777777" w:rsidTr="00FA27C5">
        <w:trPr>
          <w:trHeight w:val="300"/>
        </w:trPr>
        <w:tc>
          <w:tcPr>
            <w:tcW w:w="1541" w:type="dxa"/>
            <w:noWrap/>
            <w:hideMark/>
          </w:tcPr>
          <w:p w14:paraId="59B8063B"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Rhode Island</w:t>
            </w:r>
          </w:p>
        </w:tc>
        <w:tc>
          <w:tcPr>
            <w:tcW w:w="2864" w:type="dxa"/>
          </w:tcPr>
          <w:p w14:paraId="03D3E353"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72C48B1D" w14:textId="77777777" w:rsidR="006269C2" w:rsidRPr="006269C2" w:rsidRDefault="006269C2" w:rsidP="006269C2">
            <w:pPr>
              <w:rPr>
                <w:rFonts w:ascii="Verdana" w:hAnsi="Verdana"/>
                <w:sz w:val="16"/>
                <w:szCs w:val="16"/>
              </w:rPr>
            </w:pPr>
            <w:r w:rsidRPr="006269C2">
              <w:rPr>
                <w:rFonts w:ascii="Verdana" w:hAnsi="Verdana"/>
                <w:sz w:val="16"/>
                <w:szCs w:val="16"/>
              </w:rPr>
              <w:t xml:space="preserve">R.I. Gen. Laws Tit. 3, </w:t>
            </w:r>
            <w:proofErr w:type="spellStart"/>
            <w:r w:rsidRPr="006269C2">
              <w:rPr>
                <w:rFonts w:ascii="Verdana" w:hAnsi="Verdana"/>
                <w:sz w:val="16"/>
                <w:szCs w:val="16"/>
              </w:rPr>
              <w:t>ch.</w:t>
            </w:r>
            <w:proofErr w:type="spellEnd"/>
            <w:r w:rsidRPr="006269C2">
              <w:rPr>
                <w:rFonts w:ascii="Verdana" w:hAnsi="Verdana"/>
                <w:sz w:val="16"/>
                <w:szCs w:val="16"/>
              </w:rPr>
              <w:t xml:space="preserve"> 14 (3-14-1 to 13-14-14) </w:t>
            </w:r>
          </w:p>
          <w:p w14:paraId="7919DEED" w14:textId="77777777" w:rsidR="006269C2" w:rsidRPr="006269C2" w:rsidRDefault="006269C2" w:rsidP="006269C2">
            <w:pPr>
              <w:rPr>
                <w:rFonts w:ascii="Times New Roman" w:eastAsia="Times New Roman" w:hAnsi="Times New Roman"/>
                <w:sz w:val="20"/>
                <w:szCs w:val="20"/>
              </w:rPr>
            </w:pPr>
          </w:p>
        </w:tc>
        <w:tc>
          <w:tcPr>
            <w:tcW w:w="2335" w:type="dxa"/>
          </w:tcPr>
          <w:p w14:paraId="708A32FD"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R.I. Gen. Laws § 3-14-4; R.I. Gen. Laws § 3-14-5; R.I. Gen. Laws § 3-14-6; R.I. Gen. Laws § 3-14-7; R.I. Gen. Laws § 3-14-8; R.I. Gen. Laws § 3-14-9; R.I. Gen. Laws § 3-14-12.</w:t>
            </w:r>
          </w:p>
          <w:p w14:paraId="00D30EB9" w14:textId="77777777" w:rsidR="006269C2" w:rsidRPr="006269C2" w:rsidRDefault="006269C2" w:rsidP="006269C2">
            <w:pPr>
              <w:rPr>
                <w:rFonts w:ascii="Verdana" w:hAnsi="Verdana"/>
                <w:sz w:val="16"/>
                <w:szCs w:val="16"/>
              </w:rPr>
            </w:pPr>
          </w:p>
        </w:tc>
      </w:tr>
      <w:tr w:rsidR="006269C2" w:rsidRPr="006269C2" w14:paraId="42E4EAFA" w14:textId="77777777" w:rsidTr="00FA27C5">
        <w:trPr>
          <w:trHeight w:val="300"/>
        </w:trPr>
        <w:tc>
          <w:tcPr>
            <w:tcW w:w="1541" w:type="dxa"/>
            <w:noWrap/>
            <w:hideMark/>
          </w:tcPr>
          <w:p w14:paraId="6040D863"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South Carolina</w:t>
            </w:r>
          </w:p>
        </w:tc>
        <w:tc>
          <w:tcPr>
            <w:tcW w:w="2864" w:type="dxa"/>
          </w:tcPr>
          <w:p w14:paraId="32BA2EEC"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2BA6EF39" w14:textId="77777777" w:rsidR="006269C2" w:rsidRPr="006269C2" w:rsidRDefault="006269C2" w:rsidP="006269C2">
            <w:pPr>
              <w:rPr>
                <w:rFonts w:ascii="Verdana" w:hAnsi="Verdana"/>
                <w:sz w:val="16"/>
                <w:szCs w:val="16"/>
              </w:rPr>
            </w:pPr>
            <w:r w:rsidRPr="006269C2">
              <w:rPr>
                <w:rFonts w:ascii="Verdana" w:hAnsi="Verdana"/>
                <w:sz w:val="16"/>
                <w:szCs w:val="16"/>
              </w:rPr>
              <w:t>Hartfield v. Getaway Lounge &amp; Grill, Inc., 697 S.E.2d 558 (2010)</w:t>
            </w:r>
          </w:p>
          <w:p w14:paraId="3E342F3B" w14:textId="77777777" w:rsidR="006269C2" w:rsidRPr="006269C2" w:rsidRDefault="006269C2" w:rsidP="006269C2">
            <w:pPr>
              <w:rPr>
                <w:rFonts w:ascii="Times New Roman" w:eastAsia="Times New Roman" w:hAnsi="Times New Roman"/>
                <w:sz w:val="20"/>
                <w:szCs w:val="20"/>
              </w:rPr>
            </w:pPr>
          </w:p>
        </w:tc>
        <w:tc>
          <w:tcPr>
            <w:tcW w:w="2335" w:type="dxa"/>
          </w:tcPr>
          <w:p w14:paraId="7304B5E2"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Norton v. Opening Break of Aiken, Inc., 443 S.E.2d 406 (S.C. Ct. App. 1994), affirmed, 462 S.E.2d 861 (S.C. 1995); Whitlaw v. Kroger Co., 410 S.E.2d 251 (S.C. 1991).</w:t>
            </w:r>
          </w:p>
          <w:p w14:paraId="16C29BEF" w14:textId="77777777" w:rsidR="006269C2" w:rsidRPr="006269C2" w:rsidRDefault="006269C2" w:rsidP="006269C2">
            <w:pPr>
              <w:rPr>
                <w:rFonts w:ascii="Verdana" w:hAnsi="Verdana"/>
                <w:sz w:val="16"/>
                <w:szCs w:val="16"/>
              </w:rPr>
            </w:pPr>
          </w:p>
        </w:tc>
      </w:tr>
      <w:tr w:rsidR="006269C2" w:rsidRPr="006269C2" w14:paraId="16C3B96D" w14:textId="77777777" w:rsidTr="00FA27C5">
        <w:trPr>
          <w:trHeight w:val="300"/>
        </w:trPr>
        <w:tc>
          <w:tcPr>
            <w:tcW w:w="1541" w:type="dxa"/>
            <w:noWrap/>
            <w:hideMark/>
          </w:tcPr>
          <w:p w14:paraId="631759C7"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South Dakota</w:t>
            </w:r>
          </w:p>
        </w:tc>
        <w:tc>
          <w:tcPr>
            <w:tcW w:w="2864" w:type="dxa"/>
          </w:tcPr>
          <w:p w14:paraId="11DC02C9"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no commercial host liability</w:t>
            </w:r>
          </w:p>
        </w:tc>
        <w:tc>
          <w:tcPr>
            <w:tcW w:w="2610" w:type="dxa"/>
          </w:tcPr>
          <w:p w14:paraId="4063842E" w14:textId="77777777" w:rsidR="006269C2" w:rsidRPr="006269C2" w:rsidRDefault="006269C2" w:rsidP="006269C2">
            <w:pPr>
              <w:rPr>
                <w:rFonts w:ascii="Verdana" w:hAnsi="Verdana"/>
                <w:sz w:val="16"/>
                <w:szCs w:val="16"/>
              </w:rPr>
            </w:pPr>
            <w:r w:rsidRPr="006269C2">
              <w:rPr>
                <w:rFonts w:ascii="Verdana" w:hAnsi="Verdana"/>
                <w:sz w:val="16"/>
                <w:szCs w:val="16"/>
              </w:rPr>
              <w:t>388 S.C. 407, 697 S.E.2d 558</w:t>
            </w:r>
          </w:p>
          <w:p w14:paraId="44D2A42A" w14:textId="77777777" w:rsidR="006269C2" w:rsidRPr="006269C2" w:rsidRDefault="006269C2" w:rsidP="006269C2">
            <w:pPr>
              <w:rPr>
                <w:rFonts w:ascii="Times New Roman" w:eastAsia="Times New Roman" w:hAnsi="Times New Roman"/>
                <w:sz w:val="20"/>
                <w:szCs w:val="20"/>
              </w:rPr>
            </w:pPr>
          </w:p>
        </w:tc>
        <w:tc>
          <w:tcPr>
            <w:tcW w:w="2335" w:type="dxa"/>
          </w:tcPr>
          <w:p w14:paraId="5FF0B5B9"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S.D. Codified Laws § 35-4-78; S.D. Codified Laws § 35-11-1; Baatz v. Arrow Bar, 426 N.W.2d 298 (S.D. 1988); Wildeboer v. South Dakota Junior Chamber of Commerce, Inc., 561 N.W.2d 666 (S.D. 1997).</w:t>
            </w:r>
          </w:p>
          <w:p w14:paraId="30786B93" w14:textId="77777777" w:rsidR="006269C2" w:rsidRPr="006269C2" w:rsidRDefault="006269C2" w:rsidP="006269C2">
            <w:pPr>
              <w:rPr>
                <w:rFonts w:ascii="Verdana" w:hAnsi="Verdana"/>
                <w:sz w:val="16"/>
                <w:szCs w:val="16"/>
              </w:rPr>
            </w:pPr>
          </w:p>
        </w:tc>
      </w:tr>
      <w:tr w:rsidR="006269C2" w:rsidRPr="006269C2" w14:paraId="0C014B3B" w14:textId="77777777" w:rsidTr="00FA27C5">
        <w:trPr>
          <w:trHeight w:val="300"/>
        </w:trPr>
        <w:tc>
          <w:tcPr>
            <w:tcW w:w="1541" w:type="dxa"/>
            <w:noWrap/>
            <w:hideMark/>
          </w:tcPr>
          <w:p w14:paraId="6DAD47F6"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Tennessee</w:t>
            </w:r>
          </w:p>
        </w:tc>
        <w:tc>
          <w:tcPr>
            <w:tcW w:w="2864" w:type="dxa"/>
          </w:tcPr>
          <w:p w14:paraId="2BAE9F81"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6529EA82" w14:textId="77777777" w:rsidR="006269C2" w:rsidRPr="006269C2" w:rsidRDefault="006269C2" w:rsidP="006269C2">
            <w:pPr>
              <w:rPr>
                <w:rFonts w:ascii="Verdana" w:hAnsi="Verdana"/>
                <w:sz w:val="16"/>
                <w:szCs w:val="16"/>
              </w:rPr>
            </w:pPr>
            <w:r w:rsidRPr="006269C2">
              <w:rPr>
                <w:rFonts w:ascii="Verdana" w:hAnsi="Verdana"/>
                <w:sz w:val="16"/>
                <w:szCs w:val="16"/>
              </w:rPr>
              <w:t xml:space="preserve">Tenn. Code 57-10-101, 57-10-102; </w:t>
            </w:r>
            <w:proofErr w:type="spellStart"/>
            <w:r w:rsidRPr="006269C2">
              <w:rPr>
                <w:rFonts w:ascii="Verdana" w:hAnsi="Verdana"/>
                <w:sz w:val="16"/>
                <w:szCs w:val="16"/>
              </w:rPr>
              <w:t>Manoloules</w:t>
            </w:r>
            <w:proofErr w:type="spellEnd"/>
            <w:r w:rsidRPr="006269C2">
              <w:rPr>
                <w:rFonts w:ascii="Verdana" w:hAnsi="Verdana"/>
                <w:sz w:val="16"/>
                <w:szCs w:val="16"/>
              </w:rPr>
              <w:t xml:space="preserve"> v. Tent Restaurant Operations, 2009 U.S. Dist. LEXIS 50785 (M.D. Tenn. June 16, 2009); </w:t>
            </w:r>
            <w:r w:rsidRPr="006269C2">
              <w:rPr>
                <w:rFonts w:ascii="Verdana" w:hAnsi="Verdana"/>
                <w:sz w:val="16"/>
                <w:szCs w:val="16"/>
              </w:rPr>
              <w:lastRenderedPageBreak/>
              <w:t>Worley v. Weigel's, 919 S.W.2d 589 (Tenn. 1996).</w:t>
            </w:r>
          </w:p>
          <w:p w14:paraId="1416647B" w14:textId="77777777" w:rsidR="006269C2" w:rsidRPr="006269C2" w:rsidRDefault="006269C2" w:rsidP="006269C2">
            <w:pPr>
              <w:rPr>
                <w:rFonts w:ascii="Times New Roman" w:eastAsia="Times New Roman" w:hAnsi="Times New Roman"/>
                <w:sz w:val="20"/>
                <w:szCs w:val="20"/>
              </w:rPr>
            </w:pPr>
          </w:p>
        </w:tc>
        <w:tc>
          <w:tcPr>
            <w:tcW w:w="2335" w:type="dxa"/>
          </w:tcPr>
          <w:p w14:paraId="3A1981B3"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lastRenderedPageBreak/>
              <w:t>Tenn. Code Ann. § 57-10-102; Worley v. Weigel's, Inc., 919 S.W.2d 589 (Tenn. 1996).</w:t>
            </w:r>
          </w:p>
          <w:p w14:paraId="7F9180A6" w14:textId="77777777" w:rsidR="006269C2" w:rsidRPr="006269C2" w:rsidRDefault="006269C2" w:rsidP="006269C2">
            <w:pPr>
              <w:rPr>
                <w:rFonts w:ascii="Verdana" w:hAnsi="Verdana"/>
                <w:sz w:val="16"/>
                <w:szCs w:val="16"/>
              </w:rPr>
            </w:pPr>
          </w:p>
        </w:tc>
      </w:tr>
      <w:tr w:rsidR="006269C2" w:rsidRPr="006269C2" w14:paraId="0ED27045" w14:textId="77777777" w:rsidTr="00FA27C5">
        <w:trPr>
          <w:trHeight w:val="300"/>
        </w:trPr>
        <w:tc>
          <w:tcPr>
            <w:tcW w:w="1541" w:type="dxa"/>
            <w:noWrap/>
            <w:hideMark/>
          </w:tcPr>
          <w:p w14:paraId="28AFD1B4"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Texas</w:t>
            </w:r>
          </w:p>
        </w:tc>
        <w:tc>
          <w:tcPr>
            <w:tcW w:w="2864" w:type="dxa"/>
          </w:tcPr>
          <w:p w14:paraId="7C0CB3DD"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0E5D1E73" w14:textId="77777777" w:rsidR="006269C2" w:rsidRPr="006269C2" w:rsidRDefault="006269C2" w:rsidP="006269C2">
            <w:pPr>
              <w:rPr>
                <w:rFonts w:ascii="Verdana" w:hAnsi="Verdana"/>
                <w:sz w:val="16"/>
                <w:szCs w:val="16"/>
              </w:rPr>
            </w:pPr>
            <w:r w:rsidRPr="006269C2">
              <w:rPr>
                <w:rFonts w:ascii="Verdana" w:hAnsi="Verdana"/>
                <w:sz w:val="16"/>
                <w:szCs w:val="16"/>
              </w:rPr>
              <w:t>Tex. Alco. Bev. Code 2.01 to 2.0, 106.14; 20801 v. Parker, 249 S.W.3d 392 (Tex. 2008); D. Houston v. Love, 92 S.W.3d 450 (Tex. 2002).</w:t>
            </w:r>
          </w:p>
          <w:p w14:paraId="2565CA51" w14:textId="77777777" w:rsidR="006269C2" w:rsidRPr="006269C2" w:rsidRDefault="006269C2" w:rsidP="006269C2">
            <w:pPr>
              <w:rPr>
                <w:rFonts w:ascii="Times New Roman" w:eastAsia="Times New Roman" w:hAnsi="Times New Roman"/>
                <w:sz w:val="20"/>
                <w:szCs w:val="20"/>
              </w:rPr>
            </w:pPr>
          </w:p>
        </w:tc>
        <w:tc>
          <w:tcPr>
            <w:tcW w:w="2335" w:type="dxa"/>
          </w:tcPr>
          <w:p w14:paraId="4D0F432B"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Tex. Alco. Bev. Code Ann. § 2.01; Tex. Alco. Bev. Code Ann. § 2.02; Tex. Alco. Bev. Code Ann. § 2.03.</w:t>
            </w:r>
          </w:p>
          <w:p w14:paraId="5D9095DF" w14:textId="77777777" w:rsidR="006269C2" w:rsidRPr="006269C2" w:rsidRDefault="006269C2" w:rsidP="006269C2">
            <w:pPr>
              <w:rPr>
                <w:rFonts w:ascii="Verdana" w:hAnsi="Verdana"/>
                <w:sz w:val="16"/>
                <w:szCs w:val="16"/>
              </w:rPr>
            </w:pPr>
          </w:p>
        </w:tc>
      </w:tr>
      <w:tr w:rsidR="006269C2" w:rsidRPr="006269C2" w14:paraId="08B66CD9" w14:textId="77777777" w:rsidTr="00FA27C5">
        <w:trPr>
          <w:trHeight w:val="300"/>
        </w:trPr>
        <w:tc>
          <w:tcPr>
            <w:tcW w:w="1541" w:type="dxa"/>
            <w:noWrap/>
            <w:hideMark/>
          </w:tcPr>
          <w:p w14:paraId="3A29BBE4"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Utah</w:t>
            </w:r>
          </w:p>
        </w:tc>
        <w:tc>
          <w:tcPr>
            <w:tcW w:w="2864" w:type="dxa"/>
          </w:tcPr>
          <w:p w14:paraId="6E19F5D6"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74F9150A" w14:textId="77777777" w:rsidR="006269C2" w:rsidRPr="006269C2" w:rsidRDefault="006269C2" w:rsidP="006269C2">
            <w:pPr>
              <w:rPr>
                <w:rFonts w:ascii="Verdana" w:hAnsi="Verdana"/>
                <w:sz w:val="16"/>
                <w:szCs w:val="16"/>
              </w:rPr>
            </w:pPr>
            <w:r w:rsidRPr="006269C2">
              <w:rPr>
                <w:rFonts w:ascii="Verdana" w:hAnsi="Verdana"/>
                <w:sz w:val="16"/>
                <w:szCs w:val="16"/>
              </w:rPr>
              <w:t>U.C.A. 1953 § 32B-15-201; U.C.A. 1953 § 32B-15-301; Miller v. United States, 104 P.3 1202 (Utah 2004)</w:t>
            </w:r>
          </w:p>
          <w:p w14:paraId="12A91C0B" w14:textId="77777777" w:rsidR="006269C2" w:rsidRPr="006269C2" w:rsidRDefault="006269C2" w:rsidP="006269C2">
            <w:pPr>
              <w:rPr>
                <w:rFonts w:ascii="Times New Roman" w:eastAsia="Times New Roman" w:hAnsi="Times New Roman"/>
                <w:sz w:val="20"/>
                <w:szCs w:val="20"/>
              </w:rPr>
            </w:pPr>
          </w:p>
        </w:tc>
        <w:tc>
          <w:tcPr>
            <w:tcW w:w="2335" w:type="dxa"/>
          </w:tcPr>
          <w:p w14:paraId="7CA58BC3"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Utah Code Ann. § 32B-15-201; Utah Code Ann. § 32B-15-301; Mackay v. 7-Eleven Sales Corp., 995 P.2d 1233 (Utah 2000); Adkins v. Uncle Bart’s, Inc., 1 P.3d 528 (Utah 2000).</w:t>
            </w:r>
          </w:p>
          <w:p w14:paraId="75EFB9C3" w14:textId="77777777" w:rsidR="006269C2" w:rsidRPr="006269C2" w:rsidRDefault="006269C2" w:rsidP="006269C2">
            <w:pPr>
              <w:rPr>
                <w:rFonts w:ascii="Verdana" w:hAnsi="Verdana"/>
                <w:sz w:val="16"/>
                <w:szCs w:val="16"/>
              </w:rPr>
            </w:pPr>
          </w:p>
        </w:tc>
      </w:tr>
      <w:tr w:rsidR="006269C2" w:rsidRPr="006269C2" w14:paraId="6F768AD7" w14:textId="77777777" w:rsidTr="00FA27C5">
        <w:trPr>
          <w:trHeight w:val="300"/>
        </w:trPr>
        <w:tc>
          <w:tcPr>
            <w:tcW w:w="1541" w:type="dxa"/>
            <w:noWrap/>
            <w:hideMark/>
          </w:tcPr>
          <w:p w14:paraId="597A6FD0"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Virginia</w:t>
            </w:r>
          </w:p>
        </w:tc>
        <w:tc>
          <w:tcPr>
            <w:tcW w:w="2864" w:type="dxa"/>
          </w:tcPr>
          <w:p w14:paraId="49205421"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no commercial host liability</w:t>
            </w:r>
          </w:p>
        </w:tc>
        <w:tc>
          <w:tcPr>
            <w:tcW w:w="2610" w:type="dxa"/>
          </w:tcPr>
          <w:p w14:paraId="78486075" w14:textId="77777777" w:rsidR="006269C2" w:rsidRPr="006269C2" w:rsidRDefault="006269C2" w:rsidP="006269C2">
            <w:pPr>
              <w:rPr>
                <w:rFonts w:ascii="Verdana" w:hAnsi="Verdana"/>
                <w:sz w:val="16"/>
                <w:szCs w:val="16"/>
              </w:rPr>
            </w:pPr>
            <w:r w:rsidRPr="006269C2">
              <w:rPr>
                <w:rFonts w:ascii="Verdana" w:hAnsi="Verdana"/>
                <w:sz w:val="16"/>
                <w:szCs w:val="16"/>
              </w:rPr>
              <w:t>Robinson v. Matt Mary Moran, 525 S.E.2d 559 (Va. 2000)</w:t>
            </w:r>
          </w:p>
          <w:p w14:paraId="0BA96CFB" w14:textId="77777777" w:rsidR="006269C2" w:rsidRPr="006269C2" w:rsidRDefault="006269C2" w:rsidP="006269C2">
            <w:pPr>
              <w:rPr>
                <w:rFonts w:ascii="Times New Roman" w:eastAsia="Times New Roman" w:hAnsi="Times New Roman"/>
                <w:sz w:val="20"/>
                <w:szCs w:val="20"/>
              </w:rPr>
            </w:pPr>
          </w:p>
        </w:tc>
        <w:tc>
          <w:tcPr>
            <w:tcW w:w="2335" w:type="dxa"/>
          </w:tcPr>
          <w:p w14:paraId="7DC6920D"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Robinson v. Matt Mary Moran, Inc., 525 S.E.2d 559 (Va. 2000).</w:t>
            </w:r>
          </w:p>
          <w:p w14:paraId="45DDF7C1" w14:textId="77777777" w:rsidR="006269C2" w:rsidRPr="006269C2" w:rsidRDefault="006269C2" w:rsidP="006269C2">
            <w:pPr>
              <w:rPr>
                <w:rFonts w:ascii="Verdana" w:hAnsi="Verdana"/>
                <w:sz w:val="16"/>
                <w:szCs w:val="16"/>
              </w:rPr>
            </w:pPr>
          </w:p>
        </w:tc>
      </w:tr>
      <w:tr w:rsidR="006269C2" w:rsidRPr="006269C2" w14:paraId="6355BD15" w14:textId="77777777" w:rsidTr="00FA27C5">
        <w:trPr>
          <w:trHeight w:val="300"/>
        </w:trPr>
        <w:tc>
          <w:tcPr>
            <w:tcW w:w="1541" w:type="dxa"/>
            <w:noWrap/>
            <w:hideMark/>
          </w:tcPr>
          <w:p w14:paraId="31B9513E"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Vermont</w:t>
            </w:r>
          </w:p>
        </w:tc>
        <w:tc>
          <w:tcPr>
            <w:tcW w:w="2864" w:type="dxa"/>
          </w:tcPr>
          <w:p w14:paraId="2D6E8A2C"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04B77AE0" w14:textId="77777777" w:rsidR="006269C2" w:rsidRPr="006269C2" w:rsidRDefault="006269C2" w:rsidP="006269C2">
            <w:pPr>
              <w:rPr>
                <w:rFonts w:ascii="Verdana" w:hAnsi="Verdana"/>
                <w:sz w:val="16"/>
                <w:szCs w:val="16"/>
              </w:rPr>
            </w:pPr>
            <w:r w:rsidRPr="006269C2">
              <w:rPr>
                <w:rFonts w:ascii="Verdana" w:hAnsi="Verdana"/>
                <w:sz w:val="16"/>
                <w:szCs w:val="16"/>
              </w:rPr>
              <w:t xml:space="preserve">Vt. Stat. tit. 7, 501; Swett v. Haig's, 663 A.2d 930 (Vt. 1995) </w:t>
            </w:r>
          </w:p>
          <w:p w14:paraId="0DF1A265" w14:textId="77777777" w:rsidR="006269C2" w:rsidRPr="006269C2" w:rsidRDefault="006269C2" w:rsidP="006269C2">
            <w:pPr>
              <w:rPr>
                <w:rFonts w:ascii="Times New Roman" w:eastAsia="Times New Roman" w:hAnsi="Times New Roman"/>
                <w:sz w:val="20"/>
                <w:szCs w:val="20"/>
              </w:rPr>
            </w:pPr>
          </w:p>
        </w:tc>
        <w:tc>
          <w:tcPr>
            <w:tcW w:w="2335" w:type="dxa"/>
          </w:tcPr>
          <w:p w14:paraId="09EFA6F4"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Vt. Stat. Ann. tit. 7, § 501.</w:t>
            </w:r>
          </w:p>
          <w:p w14:paraId="49E4A333" w14:textId="77777777" w:rsidR="006269C2" w:rsidRPr="006269C2" w:rsidRDefault="006269C2" w:rsidP="006269C2">
            <w:pPr>
              <w:rPr>
                <w:rFonts w:ascii="Verdana" w:hAnsi="Verdana"/>
                <w:sz w:val="16"/>
                <w:szCs w:val="16"/>
              </w:rPr>
            </w:pPr>
          </w:p>
        </w:tc>
      </w:tr>
      <w:tr w:rsidR="006269C2" w:rsidRPr="006269C2" w14:paraId="3FCB76FA" w14:textId="77777777" w:rsidTr="00FA27C5">
        <w:trPr>
          <w:trHeight w:val="300"/>
        </w:trPr>
        <w:tc>
          <w:tcPr>
            <w:tcW w:w="1541" w:type="dxa"/>
            <w:noWrap/>
            <w:hideMark/>
          </w:tcPr>
          <w:p w14:paraId="6B43BB7F"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Washington</w:t>
            </w:r>
          </w:p>
        </w:tc>
        <w:tc>
          <w:tcPr>
            <w:tcW w:w="2864" w:type="dxa"/>
          </w:tcPr>
          <w:p w14:paraId="207CF46B"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74B97B51" w14:textId="77777777" w:rsidR="006269C2" w:rsidRPr="006269C2" w:rsidRDefault="006269C2" w:rsidP="006269C2">
            <w:pPr>
              <w:rPr>
                <w:rFonts w:ascii="Verdana" w:hAnsi="Verdana"/>
                <w:sz w:val="16"/>
                <w:szCs w:val="16"/>
              </w:rPr>
            </w:pPr>
            <w:r w:rsidRPr="006269C2">
              <w:rPr>
                <w:rFonts w:ascii="Verdana" w:hAnsi="Verdana"/>
                <w:sz w:val="16"/>
                <w:szCs w:val="16"/>
              </w:rPr>
              <w:t xml:space="preserve">Barrett v. Lucky Seven Saloon, 96 P.3d 386 (Wash. 2004) </w:t>
            </w:r>
          </w:p>
          <w:p w14:paraId="0ABCD973" w14:textId="77777777" w:rsidR="006269C2" w:rsidRPr="006269C2" w:rsidRDefault="006269C2" w:rsidP="006269C2">
            <w:pPr>
              <w:rPr>
                <w:rFonts w:ascii="Times New Roman" w:eastAsia="Times New Roman" w:hAnsi="Times New Roman"/>
                <w:sz w:val="20"/>
                <w:szCs w:val="20"/>
              </w:rPr>
            </w:pPr>
          </w:p>
        </w:tc>
        <w:tc>
          <w:tcPr>
            <w:tcW w:w="2335" w:type="dxa"/>
          </w:tcPr>
          <w:p w14:paraId="09EED08C"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Crowe v. Gaston, 951 P.2d 1118 (Wash. 1998); Schooley v. Pinch's Deli Market, Inc., 951 P.2d 749 (Wash. 1998). </w:t>
            </w:r>
          </w:p>
          <w:p w14:paraId="29C32E14" w14:textId="77777777" w:rsidR="006269C2" w:rsidRPr="006269C2" w:rsidRDefault="006269C2" w:rsidP="006269C2">
            <w:pPr>
              <w:rPr>
                <w:rFonts w:ascii="Verdana" w:hAnsi="Verdana"/>
                <w:sz w:val="16"/>
                <w:szCs w:val="16"/>
              </w:rPr>
            </w:pPr>
          </w:p>
        </w:tc>
      </w:tr>
      <w:tr w:rsidR="006269C2" w:rsidRPr="006269C2" w14:paraId="643595C0" w14:textId="77777777" w:rsidTr="00FA27C5">
        <w:trPr>
          <w:trHeight w:val="300"/>
        </w:trPr>
        <w:tc>
          <w:tcPr>
            <w:tcW w:w="1541" w:type="dxa"/>
            <w:noWrap/>
            <w:hideMark/>
          </w:tcPr>
          <w:p w14:paraId="7BA03A1F"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Wisconsin</w:t>
            </w:r>
          </w:p>
        </w:tc>
        <w:tc>
          <w:tcPr>
            <w:tcW w:w="2864" w:type="dxa"/>
          </w:tcPr>
          <w:p w14:paraId="4CE2A747"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2E383DEA" w14:textId="77777777" w:rsidR="006269C2" w:rsidRPr="006269C2" w:rsidRDefault="006269C2" w:rsidP="006269C2">
            <w:pPr>
              <w:rPr>
                <w:rFonts w:ascii="Verdana" w:hAnsi="Verdana"/>
                <w:sz w:val="16"/>
                <w:szCs w:val="16"/>
              </w:rPr>
            </w:pPr>
            <w:r w:rsidRPr="006269C2">
              <w:rPr>
                <w:rFonts w:ascii="Verdana" w:hAnsi="Verdana"/>
                <w:sz w:val="16"/>
                <w:szCs w:val="16"/>
              </w:rPr>
              <w:t xml:space="preserve">Wis. Stat. 125.035; Doering v. WEA Ins. Group, 532 N.W.2d 118 (Wis. 1995) </w:t>
            </w:r>
          </w:p>
          <w:p w14:paraId="3EABFBCC" w14:textId="77777777" w:rsidR="006269C2" w:rsidRPr="006269C2" w:rsidRDefault="006269C2" w:rsidP="006269C2">
            <w:pPr>
              <w:rPr>
                <w:rFonts w:ascii="Times New Roman" w:eastAsia="Times New Roman" w:hAnsi="Times New Roman"/>
                <w:sz w:val="20"/>
                <w:szCs w:val="20"/>
              </w:rPr>
            </w:pPr>
          </w:p>
        </w:tc>
        <w:tc>
          <w:tcPr>
            <w:tcW w:w="2335" w:type="dxa"/>
          </w:tcPr>
          <w:p w14:paraId="66E78704"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Wis. Stat. § 125.035; Meier v. Champ’s Sport Bar &amp; Grill, 623 N.W.2d 94 (Wis. 2001). </w:t>
            </w:r>
          </w:p>
          <w:p w14:paraId="5B339059" w14:textId="77777777" w:rsidR="006269C2" w:rsidRPr="006269C2" w:rsidRDefault="006269C2" w:rsidP="006269C2">
            <w:pPr>
              <w:rPr>
                <w:rFonts w:ascii="Verdana" w:hAnsi="Verdana"/>
                <w:sz w:val="16"/>
                <w:szCs w:val="16"/>
              </w:rPr>
            </w:pPr>
          </w:p>
        </w:tc>
      </w:tr>
      <w:tr w:rsidR="006269C2" w:rsidRPr="006269C2" w14:paraId="30DDE263" w14:textId="77777777" w:rsidTr="00FA27C5">
        <w:trPr>
          <w:trHeight w:val="300"/>
        </w:trPr>
        <w:tc>
          <w:tcPr>
            <w:tcW w:w="1541" w:type="dxa"/>
            <w:noWrap/>
            <w:hideMark/>
          </w:tcPr>
          <w:p w14:paraId="76BEC468"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West Virginia</w:t>
            </w:r>
          </w:p>
        </w:tc>
        <w:tc>
          <w:tcPr>
            <w:tcW w:w="2864" w:type="dxa"/>
          </w:tcPr>
          <w:p w14:paraId="0F81CBEF"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no major limitations</w:t>
            </w:r>
          </w:p>
        </w:tc>
        <w:tc>
          <w:tcPr>
            <w:tcW w:w="2610" w:type="dxa"/>
          </w:tcPr>
          <w:p w14:paraId="017956EF" w14:textId="77777777" w:rsidR="006269C2" w:rsidRPr="006269C2" w:rsidRDefault="006269C2" w:rsidP="006269C2">
            <w:pPr>
              <w:rPr>
                <w:rFonts w:ascii="Verdana" w:hAnsi="Verdana"/>
                <w:sz w:val="16"/>
                <w:szCs w:val="16"/>
              </w:rPr>
            </w:pPr>
            <w:r w:rsidRPr="006269C2">
              <w:rPr>
                <w:rFonts w:ascii="Verdana" w:hAnsi="Verdana"/>
                <w:sz w:val="16"/>
                <w:szCs w:val="16"/>
              </w:rPr>
              <w:t>Bailey v. Black, 394 S.E.2d 58 (W. Va. 1990)</w:t>
            </w:r>
          </w:p>
          <w:p w14:paraId="2708D0C3" w14:textId="77777777" w:rsidR="006269C2" w:rsidRPr="006269C2" w:rsidRDefault="006269C2" w:rsidP="006269C2">
            <w:pPr>
              <w:rPr>
                <w:rFonts w:ascii="Times New Roman" w:eastAsia="Times New Roman" w:hAnsi="Times New Roman"/>
                <w:sz w:val="20"/>
                <w:szCs w:val="20"/>
              </w:rPr>
            </w:pPr>
          </w:p>
        </w:tc>
        <w:tc>
          <w:tcPr>
            <w:tcW w:w="2335" w:type="dxa"/>
          </w:tcPr>
          <w:p w14:paraId="183D9CB0" w14:textId="77777777" w:rsidR="006269C2" w:rsidRPr="006269C2" w:rsidRDefault="006269C2" w:rsidP="006269C2">
            <w:pPr>
              <w:rPr>
                <w:rFonts w:ascii="Verdana" w:hAnsi="Verdana" w:cs="Calibri"/>
                <w:color w:val="000000"/>
                <w:sz w:val="16"/>
                <w:szCs w:val="16"/>
              </w:rPr>
            </w:pPr>
            <w:r w:rsidRPr="006269C2">
              <w:rPr>
                <w:rFonts w:ascii="Verdana" w:hAnsi="Verdana" w:cs="Calibri"/>
                <w:color w:val="000000"/>
                <w:sz w:val="16"/>
                <w:szCs w:val="16"/>
              </w:rPr>
              <w:t xml:space="preserve">Anderson v. </w:t>
            </w:r>
            <w:proofErr w:type="spellStart"/>
            <w:r w:rsidRPr="006269C2">
              <w:rPr>
                <w:rFonts w:ascii="Verdana" w:hAnsi="Verdana" w:cs="Calibri"/>
                <w:color w:val="000000"/>
                <w:sz w:val="16"/>
                <w:szCs w:val="16"/>
              </w:rPr>
              <w:t>Moulder</w:t>
            </w:r>
            <w:proofErr w:type="spellEnd"/>
            <w:r w:rsidRPr="006269C2">
              <w:rPr>
                <w:rFonts w:ascii="Verdana" w:hAnsi="Verdana" w:cs="Calibri"/>
                <w:color w:val="000000"/>
                <w:sz w:val="16"/>
                <w:szCs w:val="16"/>
              </w:rPr>
              <w:t>, 394 S.E.2d 61 (W. Va. 1990).</w:t>
            </w:r>
          </w:p>
          <w:p w14:paraId="0EB0D4BC" w14:textId="77777777" w:rsidR="006269C2" w:rsidRPr="006269C2" w:rsidRDefault="006269C2" w:rsidP="006269C2">
            <w:pPr>
              <w:rPr>
                <w:rFonts w:ascii="Verdana" w:hAnsi="Verdana"/>
                <w:sz w:val="16"/>
                <w:szCs w:val="16"/>
              </w:rPr>
            </w:pPr>
          </w:p>
        </w:tc>
      </w:tr>
      <w:tr w:rsidR="006269C2" w:rsidRPr="006269C2" w14:paraId="35136BD4" w14:textId="77777777" w:rsidTr="00FA27C5">
        <w:trPr>
          <w:trHeight w:val="300"/>
        </w:trPr>
        <w:tc>
          <w:tcPr>
            <w:tcW w:w="1541" w:type="dxa"/>
            <w:noWrap/>
          </w:tcPr>
          <w:p w14:paraId="4B42C6FE" w14:textId="77777777" w:rsidR="006269C2" w:rsidRPr="006269C2" w:rsidRDefault="006269C2" w:rsidP="006269C2">
            <w:pPr>
              <w:rPr>
                <w:rFonts w:eastAsia="Times New Roman" w:cs="Calibri"/>
                <w:color w:val="000000"/>
                <w:sz w:val="22"/>
                <w:szCs w:val="22"/>
              </w:rPr>
            </w:pPr>
            <w:r w:rsidRPr="006269C2">
              <w:rPr>
                <w:rFonts w:eastAsia="Times New Roman" w:cs="Calibri"/>
                <w:color w:val="000000"/>
                <w:sz w:val="22"/>
                <w:szCs w:val="22"/>
              </w:rPr>
              <w:t>Wyoming</w:t>
            </w:r>
          </w:p>
        </w:tc>
        <w:tc>
          <w:tcPr>
            <w:tcW w:w="2864" w:type="dxa"/>
          </w:tcPr>
          <w:p w14:paraId="5BD8EA5B" w14:textId="77777777" w:rsidR="006269C2" w:rsidRPr="006269C2" w:rsidRDefault="006269C2" w:rsidP="006269C2">
            <w:pPr>
              <w:rPr>
                <w:rFonts w:ascii="Times New Roman" w:eastAsia="Times New Roman" w:hAnsi="Times New Roman"/>
                <w:sz w:val="20"/>
                <w:szCs w:val="20"/>
              </w:rPr>
            </w:pPr>
            <w:r w:rsidRPr="006269C2">
              <w:rPr>
                <w:rFonts w:eastAsia="Times New Roman" w:cs="Calibri"/>
                <w:color w:val="000000"/>
                <w:sz w:val="22"/>
                <w:szCs w:val="22"/>
              </w:rPr>
              <w:t>State had commercial host liability with major limitations</w:t>
            </w:r>
          </w:p>
        </w:tc>
        <w:tc>
          <w:tcPr>
            <w:tcW w:w="2610" w:type="dxa"/>
          </w:tcPr>
          <w:p w14:paraId="2BA392C1" w14:textId="77777777" w:rsidR="006269C2" w:rsidRPr="006269C2" w:rsidRDefault="006269C2" w:rsidP="006269C2">
            <w:pPr>
              <w:rPr>
                <w:rFonts w:ascii="Verdana" w:hAnsi="Verdana"/>
                <w:sz w:val="16"/>
                <w:szCs w:val="16"/>
              </w:rPr>
            </w:pPr>
            <w:r w:rsidRPr="006269C2">
              <w:rPr>
                <w:rFonts w:ascii="Verdana" w:hAnsi="Verdana"/>
                <w:sz w:val="16"/>
                <w:szCs w:val="16"/>
              </w:rPr>
              <w:t xml:space="preserve">Wyo. Stat. 12-5-301, 12-8-301; Greenwalt v. Ram Rest., 71 P.3d 717 (Wyo. 2003)  </w:t>
            </w:r>
          </w:p>
          <w:p w14:paraId="3D41CCF5" w14:textId="77777777" w:rsidR="006269C2" w:rsidRPr="006269C2" w:rsidRDefault="006269C2" w:rsidP="006269C2">
            <w:pPr>
              <w:rPr>
                <w:rFonts w:ascii="Times New Roman" w:eastAsia="Times New Roman" w:hAnsi="Times New Roman"/>
                <w:sz w:val="20"/>
                <w:szCs w:val="20"/>
              </w:rPr>
            </w:pPr>
          </w:p>
        </w:tc>
        <w:tc>
          <w:tcPr>
            <w:tcW w:w="2335" w:type="dxa"/>
          </w:tcPr>
          <w:p w14:paraId="20609A7D" w14:textId="77777777" w:rsidR="006269C2" w:rsidRPr="006269C2" w:rsidRDefault="006269C2" w:rsidP="006269C2">
            <w:pPr>
              <w:rPr>
                <w:rFonts w:ascii="Verdana" w:hAnsi="Verdana"/>
                <w:sz w:val="16"/>
                <w:szCs w:val="16"/>
              </w:rPr>
            </w:pPr>
            <w:r w:rsidRPr="006269C2">
              <w:rPr>
                <w:rFonts w:ascii="Verdana" w:hAnsi="Verdana"/>
                <w:sz w:val="16"/>
                <w:szCs w:val="16"/>
              </w:rPr>
              <w:t>Daniels v. Carpenter, 62 P.3d 555 (Wyo. 2003).</w:t>
            </w:r>
          </w:p>
        </w:tc>
      </w:tr>
    </w:tbl>
    <w:p w14:paraId="451C6341" w14:textId="77777777" w:rsidR="006269C2" w:rsidRPr="006269C2" w:rsidRDefault="006269C2" w:rsidP="006269C2">
      <w:pPr>
        <w:spacing w:after="160" w:line="259" w:lineRule="auto"/>
        <w:rPr>
          <w:rFonts w:ascii="Calibri" w:eastAsia="Calibri" w:hAnsi="Calibri"/>
          <w:sz w:val="22"/>
          <w:szCs w:val="22"/>
        </w:rPr>
      </w:pPr>
    </w:p>
    <w:p w14:paraId="28350ED0" w14:textId="084374C0" w:rsidR="00A901E7" w:rsidRPr="006269C2" w:rsidRDefault="00A901E7" w:rsidP="006269C2"/>
    <w:sectPr w:rsidR="00A901E7" w:rsidRPr="006269C2" w:rsidSect="009D7F1B">
      <w:headerReference w:type="default" r:id="rId8"/>
      <w:footerReference w:type="default" r:id="rId9"/>
      <w:headerReference w:type="first" r:id="rId10"/>
      <w:footerReference w:type="first" r:id="rId11"/>
      <w:pgSz w:w="12240" w:h="15840"/>
      <w:pgMar w:top="1990" w:right="990" w:bottom="2880" w:left="900" w:header="630" w:footer="64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FF3C6" w14:textId="77777777" w:rsidR="008B6185" w:rsidRDefault="008B6185" w:rsidP="00911D54">
      <w:r>
        <w:separator/>
      </w:r>
    </w:p>
  </w:endnote>
  <w:endnote w:type="continuationSeparator" w:id="0">
    <w:p w14:paraId="409C7649" w14:textId="77777777" w:rsidR="008B6185" w:rsidRDefault="008B6185" w:rsidP="00911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56D0D" w14:textId="77777777" w:rsidR="00E65EE3" w:rsidRPr="00E65EE3" w:rsidRDefault="00E65EE3" w:rsidP="00956A9F">
    <w:pPr>
      <w:pStyle w:val="Footer"/>
      <w:ind w:left="270"/>
      <w:rPr>
        <w:rFonts w:ascii="Arial" w:hAnsi="Arial"/>
        <w:color w:val="3C3E3D"/>
        <w:sz w:val="20"/>
      </w:rPr>
    </w:pPr>
    <w:r w:rsidRPr="00D407C9">
      <w:rPr>
        <w:rFonts w:ascii="Arial" w:hAnsi="Arial"/>
        <w:color w:val="3C3E3D"/>
        <w:sz w:val="20"/>
      </w:rPr>
      <w:t>changelabsolutions.org</w:t>
    </w:r>
    <w:r>
      <w:rPr>
        <w:rFonts w:ascii="Arial" w:hAnsi="Arial"/>
        <w:color w:val="3C3E3D"/>
        <w:sz w:val="20"/>
      </w:rPr>
      <w:tab/>
    </w:r>
    <w:r>
      <w:rPr>
        <w:rFonts w:ascii="Arial" w:hAnsi="Arial"/>
        <w:color w:val="3C3E3D"/>
        <w:sz w:val="20"/>
      </w:rPr>
      <w:tab/>
      <w:t xml:space="preserve"> </w:t>
    </w:r>
    <w:r>
      <w:rPr>
        <w:rFonts w:ascii="Arial" w:hAnsi="Arial"/>
        <w:color w:val="3C3E3D"/>
        <w:sz w:val="20"/>
      </w:rPr>
      <w:tab/>
    </w:r>
    <w:r>
      <w:rPr>
        <w:rFonts w:ascii="Arial" w:hAnsi="Arial"/>
        <w:color w:val="3C3E3D"/>
        <w:sz w:val="20"/>
      </w:rPr>
      <w:tab/>
    </w:r>
    <w:r w:rsidR="00D00C56" w:rsidRPr="00A95C12">
      <w:rPr>
        <w:rStyle w:val="PageNumber"/>
        <w:rFonts w:ascii="Arial" w:hAnsi="Arial"/>
        <w:sz w:val="20"/>
      </w:rPr>
      <w:fldChar w:fldCharType="begin"/>
    </w:r>
    <w:r w:rsidRPr="00A95C12">
      <w:rPr>
        <w:rStyle w:val="PageNumber"/>
        <w:rFonts w:ascii="Arial" w:hAnsi="Arial"/>
        <w:sz w:val="20"/>
      </w:rPr>
      <w:instrText xml:space="preserve"> PAGE </w:instrText>
    </w:r>
    <w:r w:rsidR="00D00C56" w:rsidRPr="00A95C12">
      <w:rPr>
        <w:rStyle w:val="PageNumber"/>
        <w:rFonts w:ascii="Arial" w:hAnsi="Arial"/>
        <w:sz w:val="20"/>
      </w:rPr>
      <w:fldChar w:fldCharType="separate"/>
    </w:r>
    <w:r w:rsidR="005613B0">
      <w:rPr>
        <w:rStyle w:val="PageNumber"/>
        <w:rFonts w:ascii="Arial" w:hAnsi="Arial"/>
        <w:noProof/>
        <w:sz w:val="20"/>
      </w:rPr>
      <w:t>2</w:t>
    </w:r>
    <w:r w:rsidR="00D00C56" w:rsidRPr="00A95C12">
      <w:rPr>
        <w:rStyle w:val="PageNumber"/>
        <w:rFonts w:ascii="Arial" w:hAnsi="Arial"/>
        <w:sz w:val="20"/>
      </w:rPr>
      <w:fldChar w:fldCharType="end"/>
    </w:r>
  </w:p>
  <w:p w14:paraId="7DE99387" w14:textId="77777777" w:rsidR="001F45ED" w:rsidRDefault="001F45E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BA61" w14:textId="77777777" w:rsidR="00400CF9" w:rsidRDefault="00400CF9" w:rsidP="00982782">
    <w:pPr>
      <w:ind w:left="270"/>
      <w:rPr>
        <w:rFonts w:ascii="Arial" w:hAnsi="Arial" w:cs="Arial"/>
        <w:i/>
        <w:sz w:val="18"/>
        <w:szCs w:val="20"/>
      </w:rPr>
    </w:pPr>
  </w:p>
  <w:p w14:paraId="7AD24A2D" w14:textId="77777777" w:rsidR="00400CF9" w:rsidRDefault="00400CF9" w:rsidP="00982782">
    <w:pPr>
      <w:ind w:left="270"/>
      <w:rPr>
        <w:rFonts w:ascii="Arial" w:hAnsi="Arial" w:cs="Arial"/>
        <w:i/>
        <w:sz w:val="18"/>
        <w:szCs w:val="20"/>
      </w:rPr>
    </w:pPr>
  </w:p>
  <w:p w14:paraId="70748F04" w14:textId="0186F530" w:rsidR="00400CF9" w:rsidRPr="00400CF9" w:rsidRDefault="00400CF9" w:rsidP="00400CF9">
    <w:pPr>
      <w:spacing w:before="120" w:after="120"/>
      <w:ind w:left="270"/>
      <w:rPr>
        <w:rFonts w:ascii="Arial" w:hAnsi="Arial" w:cs="Arial"/>
        <w:i/>
        <w:iCs/>
        <w:sz w:val="18"/>
        <w:szCs w:val="18"/>
      </w:rPr>
    </w:pPr>
    <w:r w:rsidRPr="00400CF9">
      <w:rPr>
        <w:rFonts w:ascii="Arial" w:hAnsi="Arial" w:cs="Arial"/>
        <w:i/>
        <w:iCs/>
        <w:sz w:val="18"/>
        <w:szCs w:val="18"/>
      </w:rPr>
      <w:t xml:space="preserve">This </w:t>
    </w:r>
    <w:r>
      <w:rPr>
        <w:rFonts w:ascii="Arial" w:hAnsi="Arial" w:cs="Arial"/>
        <w:i/>
        <w:iCs/>
        <w:sz w:val="18"/>
        <w:szCs w:val="18"/>
      </w:rPr>
      <w:t>memo</w:t>
    </w:r>
    <w:r w:rsidRPr="00400CF9">
      <w:rPr>
        <w:rFonts w:ascii="Arial" w:hAnsi="Arial" w:cs="Arial"/>
        <w:i/>
        <w:iCs/>
        <w:sz w:val="18"/>
        <w:szCs w:val="18"/>
      </w:rPr>
      <w:t xml:space="preserve"> was supported by the Centers for Disease Control and Prevention of the U.S. Department of Health and Human Services (HHS) as part of a financial assistance award </w:t>
    </w:r>
    <w:r w:rsidRPr="009D7F1B">
      <w:rPr>
        <w:rFonts w:ascii="Arial" w:hAnsi="Arial" w:cs="Arial"/>
        <w:i/>
        <w:iCs/>
        <w:sz w:val="18"/>
        <w:szCs w:val="18"/>
      </w:rPr>
      <w:t>totaling $</w:t>
    </w:r>
    <w:r w:rsidR="009D7F1B" w:rsidRPr="009D7F1B">
      <w:rPr>
        <w:rFonts w:ascii="Arial" w:hAnsi="Arial" w:cs="Arial"/>
        <w:i/>
        <w:iCs/>
        <w:sz w:val="18"/>
        <w:szCs w:val="18"/>
      </w:rPr>
      <w:t xml:space="preserve">145,873 </w:t>
    </w:r>
    <w:r w:rsidRPr="009D7F1B">
      <w:rPr>
        <w:rFonts w:ascii="Arial" w:hAnsi="Arial" w:cs="Arial"/>
        <w:i/>
        <w:iCs/>
        <w:sz w:val="18"/>
        <w:szCs w:val="18"/>
      </w:rPr>
      <w:t>wit</w:t>
    </w:r>
    <w:r w:rsidR="009D7F1B">
      <w:rPr>
        <w:rFonts w:ascii="Arial" w:hAnsi="Arial" w:cs="Arial"/>
        <w:i/>
        <w:iCs/>
        <w:sz w:val="18"/>
        <w:szCs w:val="18"/>
      </w:rPr>
      <w:t xml:space="preserve">h </w:t>
    </w:r>
    <w:r w:rsidRPr="009D7F1B">
      <w:rPr>
        <w:rFonts w:ascii="Arial" w:hAnsi="Arial" w:cs="Arial"/>
        <w:i/>
        <w:iCs/>
        <w:sz w:val="18"/>
        <w:szCs w:val="18"/>
      </w:rPr>
      <w:t>100 percent</w:t>
    </w:r>
    <w:r w:rsidRPr="00400CF9">
      <w:rPr>
        <w:rFonts w:ascii="Arial" w:hAnsi="Arial" w:cs="Arial"/>
        <w:i/>
        <w:iCs/>
        <w:sz w:val="18"/>
        <w:szCs w:val="18"/>
      </w:rPr>
      <w:t xml:space="preserve"> funded by CDC/HHS. The contents are those of the author(s) and do not necessarily represent the official views of, nor an endorsement, by CDC/HHS, or the U.S. Government.</w:t>
    </w:r>
  </w:p>
  <w:p w14:paraId="597603A1" w14:textId="5FEBF992" w:rsidR="00982782" w:rsidRPr="00982782" w:rsidRDefault="00982782" w:rsidP="00982782">
    <w:pPr>
      <w:ind w:left="270"/>
      <w:rPr>
        <w:rFonts w:ascii="Arial" w:hAnsi="Arial" w:cs="Arial"/>
        <w:i/>
        <w:sz w:val="18"/>
        <w:szCs w:val="20"/>
      </w:rPr>
    </w:pPr>
    <w:r w:rsidRPr="00284564">
      <w:rPr>
        <w:rFonts w:ascii="Arial" w:hAnsi="Arial" w:cs="Arial"/>
        <w:i/>
        <w:sz w:val="18"/>
        <w:szCs w:val="20"/>
      </w:rPr>
      <w:t xml:space="preserve">ChangeLab Solutions is a nonprofit organization that provides legal information on matters relating to public health. The legal information in this document does not constitute legal advice or legal representation. For legal advice, readers should consult a lawyer in their state.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F2B21" w14:textId="77777777" w:rsidR="008B6185" w:rsidRDefault="008B6185" w:rsidP="00911D54">
      <w:r>
        <w:separator/>
      </w:r>
    </w:p>
  </w:footnote>
  <w:footnote w:type="continuationSeparator" w:id="0">
    <w:p w14:paraId="158F9123" w14:textId="77777777" w:rsidR="008B6185" w:rsidRDefault="008B6185" w:rsidP="00911D54">
      <w:r>
        <w:continuationSeparator/>
      </w:r>
    </w:p>
  </w:footnote>
  <w:footnote w:id="1">
    <w:p w14:paraId="0A1E7F52" w14:textId="04C30940" w:rsidR="00400CF9" w:rsidRPr="00400CF9" w:rsidRDefault="00400CF9">
      <w:pPr>
        <w:pStyle w:val="FootnoteText"/>
        <w:rPr>
          <w:rFonts w:asciiTheme="majorHAnsi" w:hAnsiTheme="majorHAnsi" w:cstheme="majorHAnsi"/>
        </w:rPr>
      </w:pPr>
      <w:r w:rsidRPr="00400CF9">
        <w:rPr>
          <w:rStyle w:val="FootnoteReference"/>
          <w:rFonts w:asciiTheme="majorHAnsi" w:hAnsiTheme="majorHAnsi" w:cstheme="majorHAnsi"/>
        </w:rPr>
        <w:footnoteRef/>
      </w:r>
      <w:r w:rsidRPr="00400CF9">
        <w:rPr>
          <w:rFonts w:asciiTheme="majorHAnsi" w:hAnsiTheme="majorHAnsi" w:cstheme="majorHAnsi"/>
        </w:rPr>
        <w:t xml:space="preserve"> </w:t>
      </w:r>
      <w:r w:rsidRPr="006269C2">
        <w:rPr>
          <w:rFonts w:asciiTheme="majorHAnsi" w:eastAsia="Calibri" w:hAnsiTheme="majorHAnsi" w:cstheme="majorHAnsi"/>
        </w:rPr>
        <w:t>Mosher, J., et al. (2021). Liquor liability law. Newark, NJ: LexisNexis.</w:t>
      </w:r>
    </w:p>
  </w:footnote>
  <w:footnote w:id="2">
    <w:p w14:paraId="0C04AD66" w14:textId="30E58E2F" w:rsidR="00400CF9" w:rsidRPr="00400CF9" w:rsidRDefault="00400CF9" w:rsidP="00400CF9">
      <w:pPr>
        <w:spacing w:after="160" w:line="259" w:lineRule="auto"/>
        <w:rPr>
          <w:rFonts w:ascii="Calibri" w:eastAsia="Calibri" w:hAnsi="Calibri"/>
          <w:sz w:val="20"/>
          <w:szCs w:val="20"/>
        </w:rPr>
      </w:pPr>
      <w:r w:rsidRPr="00400CF9">
        <w:rPr>
          <w:rStyle w:val="FootnoteReference"/>
          <w:rFonts w:asciiTheme="majorHAnsi" w:hAnsiTheme="majorHAnsi" w:cstheme="majorHAnsi"/>
          <w:sz w:val="20"/>
          <w:szCs w:val="20"/>
        </w:rPr>
        <w:footnoteRef/>
      </w:r>
      <w:r w:rsidRPr="00400CF9">
        <w:rPr>
          <w:rFonts w:asciiTheme="majorHAnsi" w:hAnsiTheme="majorHAnsi" w:cstheme="majorHAnsi"/>
          <w:sz w:val="20"/>
          <w:szCs w:val="20"/>
        </w:rPr>
        <w:t xml:space="preserve"> </w:t>
      </w:r>
      <w:r w:rsidRPr="006269C2">
        <w:rPr>
          <w:rFonts w:asciiTheme="majorHAnsi" w:eastAsia="Calibri" w:hAnsiTheme="majorHAnsi" w:cstheme="majorHAnsi"/>
          <w:sz w:val="20"/>
          <w:szCs w:val="20"/>
        </w:rPr>
        <w:t>Substance Abuse and Mental Health Services Administration. Report to Congress on the prevention and reduction of underage drinking. Substance Abuse and Mental Health Services Administration, U.S. Department of Health and Human</w:t>
      </w:r>
      <w:r w:rsidRPr="006269C2">
        <w:rPr>
          <w:rFonts w:ascii="Calibri" w:eastAsia="Calibri" w:hAnsi="Calibri"/>
          <w:sz w:val="20"/>
          <w:szCs w:val="20"/>
        </w:rPr>
        <w:t xml:space="preserve"> Services; Washington, DC: </w:t>
      </w:r>
      <w:proofErr w:type="gramStart"/>
      <w:r w:rsidRPr="006269C2">
        <w:rPr>
          <w:rFonts w:ascii="Calibri" w:eastAsia="Calibri" w:hAnsi="Calibri"/>
          <w:sz w:val="20"/>
          <w:szCs w:val="20"/>
        </w:rPr>
        <w:t>October,</w:t>
      </w:r>
      <w:proofErr w:type="gramEnd"/>
      <w:r w:rsidRPr="006269C2">
        <w:rPr>
          <w:rFonts w:ascii="Calibri" w:eastAsia="Calibri" w:hAnsi="Calibri"/>
          <w:sz w:val="20"/>
          <w:szCs w:val="20"/>
        </w:rPr>
        <w:t xml:space="preserv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43C40" w14:textId="77777777" w:rsidR="00A41F55" w:rsidRDefault="00A41F55" w:rsidP="003B600B">
    <w:pPr>
      <w:pStyle w:val="Header"/>
      <w:tabs>
        <w:tab w:val="clear" w:pos="8640"/>
        <w:tab w:val="left" w:pos="90"/>
        <w:tab w:val="right" w:pos="9360"/>
      </w:tabs>
      <w:ind w:left="-540"/>
    </w:pPr>
  </w:p>
  <w:p w14:paraId="1C381C93" w14:textId="77777777" w:rsidR="00A41F55" w:rsidRDefault="00A41F55" w:rsidP="00DE7F39">
    <w:pPr>
      <w:pStyle w:val="Header"/>
      <w:tabs>
        <w:tab w:val="clear" w:pos="8640"/>
        <w:tab w:val="left" w:pos="90"/>
        <w:tab w:val="right" w:pos="9360"/>
      </w:tabs>
      <w:ind w:left="-180"/>
    </w:pPr>
  </w:p>
  <w:p w14:paraId="2FACE528" w14:textId="77777777" w:rsidR="00A41F55" w:rsidRDefault="00A41F55" w:rsidP="00F82DCD">
    <w:pPr>
      <w:pStyle w:val="Header"/>
      <w:tabs>
        <w:tab w:val="clear" w:pos="8640"/>
        <w:tab w:val="left" w:pos="180"/>
        <w:tab w:val="right" w:pos="9360"/>
      </w:tabs>
    </w:pPr>
    <w:r w:rsidRPr="00F82DCD">
      <w:rPr>
        <w:noProof/>
      </w:rPr>
      <w:drawing>
        <wp:inline distT="0" distB="0" distL="0" distR="0" wp14:anchorId="5EF6FADF" wp14:editId="440316C7">
          <wp:extent cx="1685183" cy="325304"/>
          <wp:effectExtent l="25400" t="0" r="0" b="0"/>
          <wp:docPr id="106" name="Picture 106" descr="ChangeLab_Ltrhd_3-KW-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Lab_Ltrhd_3-KW-01.jpg"/>
                  <pic:cNvPicPr/>
                </pic:nvPicPr>
                <pic:blipFill>
                  <a:blip r:embed="rId1"/>
                  <a:stretch>
                    <a:fillRect/>
                  </a:stretch>
                </pic:blipFill>
                <pic:spPr>
                  <a:xfrm>
                    <a:off x="0" y="0"/>
                    <a:ext cx="1685183" cy="325304"/>
                  </a:xfrm>
                  <a:prstGeom prst="rect">
                    <a:avLst/>
                  </a:prstGeom>
                </pic:spPr>
              </pic:pic>
            </a:graphicData>
          </a:graphic>
        </wp:inline>
      </w:drawing>
    </w:r>
  </w:p>
  <w:p w14:paraId="2BDB518D" w14:textId="77777777" w:rsidR="001F45ED" w:rsidRDefault="001F45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F9E6" w14:textId="77777777" w:rsidR="001B7723" w:rsidRDefault="00466D2A" w:rsidP="001B7723">
    <w:pPr>
      <w:pStyle w:val="Header"/>
      <w:ind w:left="-90"/>
    </w:pPr>
    <w:r>
      <w:rPr>
        <w:noProof/>
      </w:rPr>
      <mc:AlternateContent>
        <mc:Choice Requires="wps">
          <w:drawing>
            <wp:anchor distT="0" distB="0" distL="114300" distR="114300" simplePos="0" relativeHeight="251658240" behindDoc="0" locked="0" layoutInCell="1" allowOverlap="1" wp14:anchorId="458D9AFF" wp14:editId="64800625">
              <wp:simplePos x="0" y="0"/>
              <wp:positionH relativeFrom="column">
                <wp:posOffset>5029200</wp:posOffset>
              </wp:positionH>
              <wp:positionV relativeFrom="paragraph">
                <wp:posOffset>-3175</wp:posOffset>
              </wp:positionV>
              <wp:extent cx="1828800" cy="9175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917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5F1EB" w14:textId="77777777" w:rsidR="00A41F55" w:rsidRPr="007C092E" w:rsidRDefault="007C092E">
                          <w:pPr>
                            <w:rPr>
                              <w:rFonts w:ascii="Times" w:hAnsi="Times"/>
                              <w:color w:val="3C3E3D"/>
                              <w:sz w:val="18"/>
                            </w:rPr>
                          </w:pPr>
                          <w:r w:rsidRPr="007C092E">
                            <w:rPr>
                              <w:rFonts w:ascii="Times" w:hAnsi="Times"/>
                              <w:color w:val="3C3E3D"/>
                              <w:sz w:val="18"/>
                            </w:rPr>
                            <w:t xml:space="preserve">2201 Broadway, Suite </w:t>
                          </w:r>
                          <w:r w:rsidR="00A41F55" w:rsidRPr="007C092E">
                            <w:rPr>
                              <w:rFonts w:ascii="Times" w:hAnsi="Times"/>
                              <w:color w:val="3C3E3D"/>
                              <w:sz w:val="18"/>
                            </w:rPr>
                            <w:t>502</w:t>
                          </w:r>
                        </w:p>
                        <w:p w14:paraId="6EDEA361" w14:textId="77777777" w:rsidR="00A41F55" w:rsidRPr="007C092E" w:rsidRDefault="007C092E">
                          <w:pPr>
                            <w:rPr>
                              <w:rFonts w:ascii="Times" w:hAnsi="Times"/>
                              <w:color w:val="3C3E3D"/>
                              <w:sz w:val="18"/>
                            </w:rPr>
                          </w:pPr>
                          <w:r w:rsidRPr="007C092E">
                            <w:rPr>
                              <w:rFonts w:ascii="Times" w:hAnsi="Times"/>
                              <w:color w:val="3C3E3D"/>
                              <w:sz w:val="18"/>
                            </w:rPr>
                            <w:t>Oakland, CA 94612</w:t>
                          </w:r>
                        </w:p>
                        <w:p w14:paraId="6E2EA65D" w14:textId="77777777" w:rsidR="00A41F55" w:rsidRPr="007C092E" w:rsidRDefault="00A41F55">
                          <w:pPr>
                            <w:rPr>
                              <w:rFonts w:ascii="Times" w:hAnsi="Times"/>
                              <w:color w:val="3C3E3D"/>
                              <w:sz w:val="18"/>
                            </w:rPr>
                          </w:pPr>
                          <w:r w:rsidRPr="007C092E">
                            <w:rPr>
                              <w:rFonts w:ascii="Times" w:hAnsi="Times"/>
                              <w:color w:val="3C3E3D"/>
                              <w:sz w:val="18"/>
                            </w:rPr>
                            <w:t>510.302.3380</w:t>
                          </w:r>
                        </w:p>
                        <w:p w14:paraId="0EB12DCE" w14:textId="77777777" w:rsidR="00A41F55" w:rsidRPr="007C092E" w:rsidRDefault="00A41F55">
                          <w:pPr>
                            <w:rPr>
                              <w:rFonts w:ascii="Times" w:hAnsi="Times"/>
                              <w:color w:val="3C3E3D"/>
                              <w:sz w:val="18"/>
                            </w:rPr>
                          </w:pPr>
                          <w:r w:rsidRPr="007C092E">
                            <w:rPr>
                              <w:rFonts w:ascii="Times" w:hAnsi="Times"/>
                              <w:color w:val="3C3E3D"/>
                              <w:sz w:val="18"/>
                            </w:rPr>
                            <w:t>changelabsolutions.org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D9AFF" id="_x0000_t202" coordsize="21600,21600" o:spt="202" path="m,l,21600r21600,l21600,xe">
              <v:stroke joinstyle="miter"/>
              <v:path gradientshapeok="t" o:connecttype="rect"/>
            </v:shapetype>
            <v:shape id="Text Box 1" o:spid="_x0000_s1026" type="#_x0000_t202" style="position:absolute;left:0;text-align:left;margin-left:396pt;margin-top:-.25pt;width:2in;height:7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" filled="f" stroked="f">
              <v:textbox inset=",7.2pt,,7.2pt">
                <w:txbxContent>
                  <w:p w14:paraId="32C5F1EB" w14:textId="77777777" w:rsidR="00A41F55" w:rsidRPr="007C092E" w:rsidRDefault="007C092E">
                    <w:pPr>
                      <w:rPr>
                        <w:rFonts w:ascii="Times" w:hAnsi="Times"/>
                        <w:color w:val="3C3E3D"/>
                        <w:sz w:val="18"/>
                      </w:rPr>
                    </w:pPr>
                    <w:r w:rsidRPr="007C092E">
                      <w:rPr>
                        <w:rFonts w:ascii="Times" w:hAnsi="Times"/>
                        <w:color w:val="3C3E3D"/>
                        <w:sz w:val="18"/>
                      </w:rPr>
                      <w:t xml:space="preserve">2201 Broadway, Suite </w:t>
                    </w:r>
                    <w:r w:rsidR="00A41F55" w:rsidRPr="007C092E">
                      <w:rPr>
                        <w:rFonts w:ascii="Times" w:hAnsi="Times"/>
                        <w:color w:val="3C3E3D"/>
                        <w:sz w:val="18"/>
                      </w:rPr>
                      <w:t>502</w:t>
                    </w:r>
                  </w:p>
                  <w:p w14:paraId="6EDEA361" w14:textId="77777777" w:rsidR="00A41F55" w:rsidRPr="007C092E" w:rsidRDefault="007C092E">
                    <w:pPr>
                      <w:rPr>
                        <w:rFonts w:ascii="Times" w:hAnsi="Times"/>
                        <w:color w:val="3C3E3D"/>
                        <w:sz w:val="18"/>
                      </w:rPr>
                    </w:pPr>
                    <w:r w:rsidRPr="007C092E">
                      <w:rPr>
                        <w:rFonts w:ascii="Times" w:hAnsi="Times"/>
                        <w:color w:val="3C3E3D"/>
                        <w:sz w:val="18"/>
                      </w:rPr>
                      <w:t>Oakland, CA 94612</w:t>
                    </w:r>
                  </w:p>
                  <w:p w14:paraId="6E2EA65D" w14:textId="77777777" w:rsidR="00A41F55" w:rsidRPr="007C092E" w:rsidRDefault="00A41F55">
                    <w:pPr>
                      <w:rPr>
                        <w:rFonts w:ascii="Times" w:hAnsi="Times"/>
                        <w:color w:val="3C3E3D"/>
                        <w:sz w:val="18"/>
                      </w:rPr>
                    </w:pPr>
                    <w:r w:rsidRPr="007C092E">
                      <w:rPr>
                        <w:rFonts w:ascii="Times" w:hAnsi="Times"/>
                        <w:color w:val="3C3E3D"/>
                        <w:sz w:val="18"/>
                      </w:rPr>
                      <w:t>510.302.3380</w:t>
                    </w:r>
                  </w:p>
                  <w:p w14:paraId="0EB12DCE" w14:textId="77777777" w:rsidR="00A41F55" w:rsidRPr="007C092E" w:rsidRDefault="00A41F55">
                    <w:pPr>
                      <w:rPr>
                        <w:rFonts w:ascii="Times" w:hAnsi="Times"/>
                        <w:color w:val="3C3E3D"/>
                        <w:sz w:val="18"/>
                      </w:rPr>
                    </w:pPr>
                    <w:r w:rsidRPr="007C092E">
                      <w:rPr>
                        <w:rFonts w:ascii="Times" w:hAnsi="Times"/>
                        <w:color w:val="3C3E3D"/>
                        <w:sz w:val="18"/>
                      </w:rPr>
                      <w:t>changelabsolutions.org</w:t>
                    </w:r>
                  </w:p>
                </w:txbxContent>
              </v:textbox>
            </v:shape>
          </w:pict>
        </mc:Fallback>
      </mc:AlternateContent>
    </w:r>
    <w:r w:rsidR="00A41F55">
      <w:rPr>
        <w:noProof/>
      </w:rPr>
      <w:drawing>
        <wp:inline distT="0" distB="0" distL="0" distR="0" wp14:anchorId="1E78ADA8" wp14:editId="16AAD54F">
          <wp:extent cx="3309359" cy="688059"/>
          <wp:effectExtent l="0" t="0" r="0" b="0"/>
          <wp:docPr id="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geLab_Ltrhd_2-KW-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343001" cy="695054"/>
                  </a:xfrm>
                  <a:prstGeom prst="rect">
                    <a:avLst/>
                  </a:prstGeom>
                  <a:noFill/>
                  <a:ln w="9525">
                    <a:noFill/>
                    <a:miter lim="800000"/>
                    <a:headEnd/>
                    <a:tailEnd/>
                  </a:ln>
                </pic:spPr>
              </pic:pic>
            </a:graphicData>
          </a:graphic>
        </wp:inline>
      </w:drawing>
    </w:r>
  </w:p>
  <w:p w14:paraId="06B8EC76" w14:textId="77777777" w:rsidR="00A41F55" w:rsidRDefault="00A41F55" w:rsidP="001B7723">
    <w:pPr>
      <w:pStyle w:val="Header"/>
      <w:ind w:left="-9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C19"/>
    <w:multiLevelType w:val="hybridMultilevel"/>
    <w:tmpl w:val="BE44DE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7B5A98"/>
    <w:multiLevelType w:val="hybridMultilevel"/>
    <w:tmpl w:val="2BAA7AEE"/>
    <w:lvl w:ilvl="0" w:tplc="85AC8AD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20A4274"/>
    <w:multiLevelType w:val="hybridMultilevel"/>
    <w:tmpl w:val="18AAA876"/>
    <w:lvl w:ilvl="0" w:tplc="0B528BB4">
      <w:numFmt w:val="bullet"/>
      <w:lvlText w:val=""/>
      <w:lvlJc w:val="left"/>
      <w:pPr>
        <w:ind w:left="520" w:hanging="360"/>
      </w:pPr>
      <w:rPr>
        <w:rFonts w:ascii="Symbol" w:eastAsia="Calibri" w:hAnsi="Symbol" w:cs="Calibri" w:hint="default"/>
      </w:rPr>
    </w:lvl>
    <w:lvl w:ilvl="1" w:tplc="04090003" w:tentative="1">
      <w:start w:val="1"/>
      <w:numFmt w:val="bullet"/>
      <w:lvlText w:val="o"/>
      <w:lvlJc w:val="left"/>
      <w:pPr>
        <w:ind w:left="1240" w:hanging="360"/>
      </w:pPr>
      <w:rPr>
        <w:rFonts w:ascii="Courier New" w:hAnsi="Courier New" w:cs="Courier New" w:hint="default"/>
      </w:rPr>
    </w:lvl>
    <w:lvl w:ilvl="2" w:tplc="04090005" w:tentative="1">
      <w:start w:val="1"/>
      <w:numFmt w:val="bullet"/>
      <w:lvlText w:val=""/>
      <w:lvlJc w:val="left"/>
      <w:pPr>
        <w:ind w:left="1960" w:hanging="360"/>
      </w:pPr>
      <w:rPr>
        <w:rFonts w:ascii="Wingdings" w:hAnsi="Wingdings" w:hint="default"/>
      </w:rPr>
    </w:lvl>
    <w:lvl w:ilvl="3" w:tplc="04090001" w:tentative="1">
      <w:start w:val="1"/>
      <w:numFmt w:val="bullet"/>
      <w:lvlText w:val=""/>
      <w:lvlJc w:val="left"/>
      <w:pPr>
        <w:ind w:left="2680" w:hanging="360"/>
      </w:pPr>
      <w:rPr>
        <w:rFonts w:ascii="Symbol" w:hAnsi="Symbol" w:hint="default"/>
      </w:rPr>
    </w:lvl>
    <w:lvl w:ilvl="4" w:tplc="04090003" w:tentative="1">
      <w:start w:val="1"/>
      <w:numFmt w:val="bullet"/>
      <w:lvlText w:val="o"/>
      <w:lvlJc w:val="left"/>
      <w:pPr>
        <w:ind w:left="3400" w:hanging="360"/>
      </w:pPr>
      <w:rPr>
        <w:rFonts w:ascii="Courier New" w:hAnsi="Courier New" w:cs="Courier New" w:hint="default"/>
      </w:rPr>
    </w:lvl>
    <w:lvl w:ilvl="5" w:tplc="04090005" w:tentative="1">
      <w:start w:val="1"/>
      <w:numFmt w:val="bullet"/>
      <w:lvlText w:val=""/>
      <w:lvlJc w:val="left"/>
      <w:pPr>
        <w:ind w:left="4120" w:hanging="360"/>
      </w:pPr>
      <w:rPr>
        <w:rFonts w:ascii="Wingdings" w:hAnsi="Wingdings" w:hint="default"/>
      </w:rPr>
    </w:lvl>
    <w:lvl w:ilvl="6" w:tplc="04090001" w:tentative="1">
      <w:start w:val="1"/>
      <w:numFmt w:val="bullet"/>
      <w:lvlText w:val=""/>
      <w:lvlJc w:val="left"/>
      <w:pPr>
        <w:ind w:left="4840" w:hanging="360"/>
      </w:pPr>
      <w:rPr>
        <w:rFonts w:ascii="Symbol" w:hAnsi="Symbol" w:hint="default"/>
      </w:rPr>
    </w:lvl>
    <w:lvl w:ilvl="7" w:tplc="04090003" w:tentative="1">
      <w:start w:val="1"/>
      <w:numFmt w:val="bullet"/>
      <w:lvlText w:val="o"/>
      <w:lvlJc w:val="left"/>
      <w:pPr>
        <w:ind w:left="5560" w:hanging="360"/>
      </w:pPr>
      <w:rPr>
        <w:rFonts w:ascii="Courier New" w:hAnsi="Courier New" w:cs="Courier New" w:hint="default"/>
      </w:rPr>
    </w:lvl>
    <w:lvl w:ilvl="8" w:tplc="04090005" w:tentative="1">
      <w:start w:val="1"/>
      <w:numFmt w:val="bullet"/>
      <w:lvlText w:val=""/>
      <w:lvlJc w:val="left"/>
      <w:pPr>
        <w:ind w:left="6280" w:hanging="360"/>
      </w:pPr>
      <w:rPr>
        <w:rFonts w:ascii="Wingdings" w:hAnsi="Wingdings" w:hint="default"/>
      </w:rPr>
    </w:lvl>
  </w:abstractNum>
  <w:abstractNum w:abstractNumId="3" w15:restartNumberingAfterBreak="0">
    <w:nsid w:val="69495D31"/>
    <w:multiLevelType w:val="hybridMultilevel"/>
    <w:tmpl w:val="73200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A2tDQyMLK0tDAysjRQ0lEKTi0uzszPAykwqgUA3dx+tSwAAAA="/>
  </w:docVars>
  <w:rsids>
    <w:rsidRoot w:val="00A613DE"/>
    <w:rsid w:val="000026F9"/>
    <w:rsid w:val="00037848"/>
    <w:rsid w:val="0003797D"/>
    <w:rsid w:val="000827EA"/>
    <w:rsid w:val="000E7568"/>
    <w:rsid w:val="000F47F8"/>
    <w:rsid w:val="00106DAB"/>
    <w:rsid w:val="0013137B"/>
    <w:rsid w:val="00137BBC"/>
    <w:rsid w:val="00167B3C"/>
    <w:rsid w:val="001B7723"/>
    <w:rsid w:val="001F45ED"/>
    <w:rsid w:val="00212B8F"/>
    <w:rsid w:val="00220BF7"/>
    <w:rsid w:val="002646D9"/>
    <w:rsid w:val="00273B5C"/>
    <w:rsid w:val="002A2404"/>
    <w:rsid w:val="002D61D6"/>
    <w:rsid w:val="002F3B3D"/>
    <w:rsid w:val="0032299A"/>
    <w:rsid w:val="00334AF0"/>
    <w:rsid w:val="003568CB"/>
    <w:rsid w:val="003B600B"/>
    <w:rsid w:val="00400CF9"/>
    <w:rsid w:val="00466D2A"/>
    <w:rsid w:val="004773E1"/>
    <w:rsid w:val="005229DC"/>
    <w:rsid w:val="005613B0"/>
    <w:rsid w:val="006269C2"/>
    <w:rsid w:val="0064639E"/>
    <w:rsid w:val="00672B14"/>
    <w:rsid w:val="006B23DF"/>
    <w:rsid w:val="00732330"/>
    <w:rsid w:val="007879AA"/>
    <w:rsid w:val="007C092E"/>
    <w:rsid w:val="007E1665"/>
    <w:rsid w:val="007E7073"/>
    <w:rsid w:val="007F5D67"/>
    <w:rsid w:val="008450C6"/>
    <w:rsid w:val="008660FA"/>
    <w:rsid w:val="008B6185"/>
    <w:rsid w:val="00911D54"/>
    <w:rsid w:val="00956A9F"/>
    <w:rsid w:val="00965848"/>
    <w:rsid w:val="00982782"/>
    <w:rsid w:val="009D7F1B"/>
    <w:rsid w:val="00A019C5"/>
    <w:rsid w:val="00A41F55"/>
    <w:rsid w:val="00A613DE"/>
    <w:rsid w:val="00A901E7"/>
    <w:rsid w:val="00B4606A"/>
    <w:rsid w:val="00B87565"/>
    <w:rsid w:val="00BE2152"/>
    <w:rsid w:val="00CD3B22"/>
    <w:rsid w:val="00D00C56"/>
    <w:rsid w:val="00D545E2"/>
    <w:rsid w:val="00D90E60"/>
    <w:rsid w:val="00DE7F39"/>
    <w:rsid w:val="00E37C64"/>
    <w:rsid w:val="00E65EE3"/>
    <w:rsid w:val="00E84860"/>
    <w:rsid w:val="00F82DCD"/>
    <w:rsid w:val="00FE5A5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0AF4DB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330"/>
    <w:rPr>
      <w:sz w:val="24"/>
      <w:szCs w:val="24"/>
    </w:rPr>
  </w:style>
  <w:style w:type="paragraph" w:styleId="Heading1">
    <w:name w:val="heading 1"/>
    <w:basedOn w:val="Normal"/>
    <w:next w:val="Normal"/>
    <w:link w:val="Heading1Char"/>
    <w:uiPriority w:val="9"/>
    <w:qFormat/>
    <w:rsid w:val="0064639E"/>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F3B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37B"/>
    <w:pPr>
      <w:tabs>
        <w:tab w:val="center" w:pos="4320"/>
        <w:tab w:val="right" w:pos="8640"/>
      </w:tabs>
    </w:pPr>
  </w:style>
  <w:style w:type="character" w:customStyle="1" w:styleId="HeaderChar">
    <w:name w:val="Header Char"/>
    <w:basedOn w:val="DefaultParagraphFont"/>
    <w:link w:val="Header"/>
    <w:uiPriority w:val="99"/>
    <w:rsid w:val="0013137B"/>
  </w:style>
  <w:style w:type="paragraph" w:styleId="Footer">
    <w:name w:val="footer"/>
    <w:basedOn w:val="Normal"/>
    <w:link w:val="FooterChar"/>
    <w:uiPriority w:val="99"/>
    <w:unhideWhenUsed/>
    <w:rsid w:val="0013137B"/>
    <w:pPr>
      <w:tabs>
        <w:tab w:val="center" w:pos="4320"/>
        <w:tab w:val="right" w:pos="8640"/>
      </w:tabs>
    </w:pPr>
  </w:style>
  <w:style w:type="character" w:customStyle="1" w:styleId="FooterChar">
    <w:name w:val="Footer Char"/>
    <w:basedOn w:val="DefaultParagraphFont"/>
    <w:link w:val="Footer"/>
    <w:uiPriority w:val="99"/>
    <w:rsid w:val="0013137B"/>
  </w:style>
  <w:style w:type="character" w:styleId="Hyperlink">
    <w:name w:val="Hyperlink"/>
    <w:basedOn w:val="DefaultParagraphFont"/>
    <w:uiPriority w:val="99"/>
    <w:unhideWhenUsed/>
    <w:rsid w:val="00732330"/>
    <w:rPr>
      <w:color w:val="0000FF"/>
      <w:u w:val="single"/>
    </w:rPr>
  </w:style>
  <w:style w:type="paragraph" w:styleId="BodyText3">
    <w:name w:val="Body Text 3"/>
    <w:basedOn w:val="Normal"/>
    <w:link w:val="BodyText3Char"/>
    <w:semiHidden/>
    <w:unhideWhenUsed/>
    <w:rsid w:val="00732330"/>
    <w:pPr>
      <w:widowControl w:val="0"/>
      <w:autoSpaceDE w:val="0"/>
      <w:autoSpaceDN w:val="0"/>
      <w:adjustRightInd w:val="0"/>
    </w:pPr>
    <w:rPr>
      <w:rFonts w:ascii="Times New Roman" w:eastAsia="Times New Roman" w:hAnsi="Times New Roman"/>
      <w:i/>
      <w:iCs/>
      <w:sz w:val="18"/>
    </w:rPr>
  </w:style>
  <w:style w:type="character" w:customStyle="1" w:styleId="BodyText3Char">
    <w:name w:val="Body Text 3 Char"/>
    <w:basedOn w:val="DefaultParagraphFont"/>
    <w:link w:val="BodyText3"/>
    <w:semiHidden/>
    <w:rsid w:val="00732330"/>
    <w:rPr>
      <w:rFonts w:ascii="Times New Roman" w:eastAsia="Times New Roman" w:hAnsi="Times New Roman" w:cs="Times New Roman"/>
      <w:i/>
      <w:iCs/>
      <w:sz w:val="18"/>
    </w:rPr>
  </w:style>
  <w:style w:type="paragraph" w:styleId="NormalWeb">
    <w:name w:val="Normal (Web)"/>
    <w:basedOn w:val="Normal"/>
    <w:uiPriority w:val="99"/>
    <w:rsid w:val="0003797D"/>
    <w:pPr>
      <w:spacing w:beforeLines="1" w:afterLines="1"/>
    </w:pPr>
    <w:rPr>
      <w:rFonts w:ascii="Times" w:hAnsi="Times"/>
      <w:sz w:val="20"/>
      <w:szCs w:val="20"/>
    </w:rPr>
  </w:style>
  <w:style w:type="character" w:styleId="PageNumber">
    <w:name w:val="page number"/>
    <w:basedOn w:val="DefaultParagraphFont"/>
    <w:uiPriority w:val="99"/>
    <w:semiHidden/>
    <w:unhideWhenUsed/>
    <w:rsid w:val="00E65EE3"/>
  </w:style>
  <w:style w:type="paragraph" w:styleId="BalloonText">
    <w:name w:val="Balloon Text"/>
    <w:basedOn w:val="Normal"/>
    <w:link w:val="BalloonTextChar"/>
    <w:uiPriority w:val="99"/>
    <w:semiHidden/>
    <w:unhideWhenUsed/>
    <w:rsid w:val="007879AA"/>
    <w:rPr>
      <w:rFonts w:ascii="Tahoma" w:hAnsi="Tahoma" w:cs="Tahoma"/>
      <w:sz w:val="16"/>
      <w:szCs w:val="16"/>
    </w:rPr>
  </w:style>
  <w:style w:type="character" w:customStyle="1" w:styleId="BalloonTextChar">
    <w:name w:val="Balloon Text Char"/>
    <w:basedOn w:val="DefaultParagraphFont"/>
    <w:link w:val="BalloonText"/>
    <w:uiPriority w:val="99"/>
    <w:semiHidden/>
    <w:rsid w:val="007879AA"/>
    <w:rPr>
      <w:rFonts w:ascii="Tahoma" w:hAnsi="Tahoma" w:cs="Tahoma"/>
      <w:sz w:val="16"/>
      <w:szCs w:val="16"/>
    </w:rPr>
  </w:style>
  <w:style w:type="paragraph" w:styleId="ListParagraph">
    <w:name w:val="List Paragraph"/>
    <w:basedOn w:val="Normal"/>
    <w:uiPriority w:val="34"/>
    <w:qFormat/>
    <w:rsid w:val="00212B8F"/>
    <w:pPr>
      <w:ind w:left="720"/>
      <w:contextualSpacing/>
    </w:pPr>
    <w:rPr>
      <w:rFonts w:ascii="Calibri" w:eastAsiaTheme="minorHAnsi" w:hAnsi="Calibri"/>
      <w:sz w:val="22"/>
      <w:szCs w:val="22"/>
    </w:rPr>
  </w:style>
  <w:style w:type="character" w:customStyle="1" w:styleId="Heading1Char">
    <w:name w:val="Heading 1 Char"/>
    <w:basedOn w:val="DefaultParagraphFont"/>
    <w:link w:val="Heading1"/>
    <w:uiPriority w:val="9"/>
    <w:rsid w:val="0064639E"/>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F3B3D"/>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99"/>
    <w:semiHidden/>
    <w:unhideWhenUsed/>
    <w:rsid w:val="002F3B3D"/>
    <w:pPr>
      <w:spacing w:after="120"/>
    </w:pPr>
  </w:style>
  <w:style w:type="character" w:customStyle="1" w:styleId="BodyTextChar">
    <w:name w:val="Body Text Char"/>
    <w:basedOn w:val="DefaultParagraphFont"/>
    <w:link w:val="BodyText"/>
    <w:uiPriority w:val="99"/>
    <w:semiHidden/>
    <w:rsid w:val="002F3B3D"/>
    <w:rPr>
      <w:sz w:val="24"/>
      <w:szCs w:val="24"/>
    </w:rPr>
  </w:style>
  <w:style w:type="paragraph" w:customStyle="1" w:styleId="TableParagraph">
    <w:name w:val="Table Paragraph"/>
    <w:basedOn w:val="Normal"/>
    <w:uiPriority w:val="1"/>
    <w:qFormat/>
    <w:rsid w:val="002F3B3D"/>
    <w:pPr>
      <w:widowControl w:val="0"/>
      <w:autoSpaceDE w:val="0"/>
      <w:autoSpaceDN w:val="0"/>
      <w:spacing w:line="243" w:lineRule="exact"/>
      <w:jc w:val="right"/>
    </w:pPr>
    <w:rPr>
      <w:rFonts w:ascii="Calibri" w:eastAsia="Calibri" w:hAnsi="Calibri" w:cs="Calibri"/>
      <w:sz w:val="22"/>
      <w:szCs w:val="22"/>
    </w:rPr>
  </w:style>
  <w:style w:type="character" w:styleId="CommentReference">
    <w:name w:val="annotation reference"/>
    <w:basedOn w:val="DefaultParagraphFont"/>
    <w:uiPriority w:val="99"/>
    <w:semiHidden/>
    <w:unhideWhenUsed/>
    <w:rsid w:val="002F3B3D"/>
    <w:rPr>
      <w:sz w:val="16"/>
      <w:szCs w:val="16"/>
    </w:rPr>
  </w:style>
  <w:style w:type="paragraph" w:styleId="CommentText">
    <w:name w:val="annotation text"/>
    <w:basedOn w:val="Normal"/>
    <w:link w:val="CommentTextChar"/>
    <w:uiPriority w:val="99"/>
    <w:semiHidden/>
    <w:unhideWhenUsed/>
    <w:rsid w:val="002F3B3D"/>
    <w:pPr>
      <w:widowControl w:val="0"/>
      <w:autoSpaceDE w:val="0"/>
      <w:autoSpaceDN w:val="0"/>
    </w:pPr>
    <w:rPr>
      <w:rFonts w:ascii="Calibri" w:eastAsia="Calibri" w:hAnsi="Calibri" w:cs="Calibri"/>
      <w:sz w:val="20"/>
      <w:szCs w:val="20"/>
    </w:rPr>
  </w:style>
  <w:style w:type="character" w:customStyle="1" w:styleId="CommentTextChar">
    <w:name w:val="Comment Text Char"/>
    <w:basedOn w:val="DefaultParagraphFont"/>
    <w:link w:val="CommentText"/>
    <w:uiPriority w:val="99"/>
    <w:semiHidden/>
    <w:rsid w:val="002F3B3D"/>
    <w:rPr>
      <w:rFonts w:ascii="Calibri" w:eastAsia="Calibri" w:hAnsi="Calibri" w:cs="Calibri"/>
    </w:rPr>
  </w:style>
  <w:style w:type="character" w:styleId="PlaceholderText">
    <w:name w:val="Placeholder Text"/>
    <w:basedOn w:val="DefaultParagraphFont"/>
    <w:uiPriority w:val="99"/>
    <w:semiHidden/>
    <w:rsid w:val="002F3B3D"/>
    <w:rPr>
      <w:color w:val="808080"/>
    </w:rPr>
  </w:style>
  <w:style w:type="paragraph" w:customStyle="1" w:styleId="EndnoteText1">
    <w:name w:val="Endnote Text1"/>
    <w:basedOn w:val="Normal"/>
    <w:next w:val="EndnoteText"/>
    <w:link w:val="EndnoteTextChar"/>
    <w:uiPriority w:val="99"/>
    <w:unhideWhenUsed/>
    <w:rsid w:val="00167B3C"/>
    <w:rPr>
      <w:sz w:val="20"/>
      <w:szCs w:val="20"/>
    </w:rPr>
  </w:style>
  <w:style w:type="character" w:customStyle="1" w:styleId="EndnoteTextChar">
    <w:name w:val="Endnote Text Char"/>
    <w:basedOn w:val="DefaultParagraphFont"/>
    <w:link w:val="EndnoteText1"/>
    <w:uiPriority w:val="99"/>
    <w:rsid w:val="00167B3C"/>
    <w:rPr>
      <w:sz w:val="20"/>
      <w:szCs w:val="20"/>
    </w:rPr>
  </w:style>
  <w:style w:type="character" w:styleId="EndnoteReference">
    <w:name w:val="endnote reference"/>
    <w:basedOn w:val="DefaultParagraphFont"/>
    <w:uiPriority w:val="99"/>
    <w:unhideWhenUsed/>
    <w:rsid w:val="00167B3C"/>
    <w:rPr>
      <w:vertAlign w:val="superscript"/>
    </w:rPr>
  </w:style>
  <w:style w:type="table" w:customStyle="1" w:styleId="TableGrid1">
    <w:name w:val="Table Grid1"/>
    <w:basedOn w:val="TableNormal"/>
    <w:next w:val="TableGrid"/>
    <w:uiPriority w:val="39"/>
    <w:rsid w:val="00167B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1"/>
    <w:uiPriority w:val="99"/>
    <w:semiHidden/>
    <w:unhideWhenUsed/>
    <w:rsid w:val="00167B3C"/>
    <w:rPr>
      <w:sz w:val="20"/>
      <w:szCs w:val="20"/>
    </w:rPr>
  </w:style>
  <w:style w:type="character" w:customStyle="1" w:styleId="EndnoteTextChar1">
    <w:name w:val="Endnote Text Char1"/>
    <w:basedOn w:val="DefaultParagraphFont"/>
    <w:link w:val="EndnoteText"/>
    <w:uiPriority w:val="99"/>
    <w:semiHidden/>
    <w:rsid w:val="00167B3C"/>
  </w:style>
  <w:style w:type="table" w:styleId="TableGrid">
    <w:name w:val="Table Grid"/>
    <w:basedOn w:val="TableNormal"/>
    <w:uiPriority w:val="59"/>
    <w:rsid w:val="00167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299A"/>
    <w:rPr>
      <w:rFonts w:asciiTheme="minorHAnsi" w:eastAsiaTheme="minorHAnsi" w:hAnsiTheme="minorHAnsi" w:cstheme="minorBidi"/>
      <w:sz w:val="22"/>
      <w:szCs w:val="22"/>
    </w:rPr>
  </w:style>
  <w:style w:type="table" w:customStyle="1" w:styleId="TableGrid2">
    <w:name w:val="Table Grid2"/>
    <w:basedOn w:val="TableNormal"/>
    <w:next w:val="TableGrid"/>
    <w:uiPriority w:val="39"/>
    <w:rsid w:val="006269C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00CF9"/>
    <w:rPr>
      <w:sz w:val="20"/>
      <w:szCs w:val="20"/>
    </w:rPr>
  </w:style>
  <w:style w:type="character" w:customStyle="1" w:styleId="FootnoteTextChar">
    <w:name w:val="Footnote Text Char"/>
    <w:basedOn w:val="DefaultParagraphFont"/>
    <w:link w:val="FootnoteText"/>
    <w:uiPriority w:val="99"/>
    <w:semiHidden/>
    <w:rsid w:val="00400CF9"/>
  </w:style>
  <w:style w:type="character" w:styleId="FootnoteReference">
    <w:name w:val="footnote reference"/>
    <w:basedOn w:val="DefaultParagraphFont"/>
    <w:uiPriority w:val="99"/>
    <w:semiHidden/>
    <w:unhideWhenUsed/>
    <w:rsid w:val="00400C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09148">
      <w:bodyDiv w:val="1"/>
      <w:marLeft w:val="0"/>
      <w:marRight w:val="0"/>
      <w:marTop w:val="0"/>
      <w:marBottom w:val="0"/>
      <w:divBdr>
        <w:top w:val="none" w:sz="0" w:space="0" w:color="auto"/>
        <w:left w:val="none" w:sz="0" w:space="0" w:color="auto"/>
        <w:bottom w:val="none" w:sz="0" w:space="0" w:color="auto"/>
        <w:right w:val="none" w:sz="0" w:space="0" w:color="auto"/>
      </w:divBdr>
    </w:div>
    <w:div w:id="747262758">
      <w:bodyDiv w:val="1"/>
      <w:marLeft w:val="0"/>
      <w:marRight w:val="0"/>
      <w:marTop w:val="0"/>
      <w:marBottom w:val="0"/>
      <w:divBdr>
        <w:top w:val="none" w:sz="0" w:space="0" w:color="auto"/>
        <w:left w:val="none" w:sz="0" w:space="0" w:color="auto"/>
        <w:bottom w:val="none" w:sz="0" w:space="0" w:color="auto"/>
        <w:right w:val="none" w:sz="0" w:space="0" w:color="auto"/>
      </w:divBdr>
    </w:div>
    <w:div w:id="1246262628">
      <w:bodyDiv w:val="1"/>
      <w:marLeft w:val="0"/>
      <w:marRight w:val="0"/>
      <w:marTop w:val="0"/>
      <w:marBottom w:val="0"/>
      <w:divBdr>
        <w:top w:val="none" w:sz="0" w:space="0" w:color="auto"/>
        <w:left w:val="none" w:sz="0" w:space="0" w:color="auto"/>
        <w:bottom w:val="none" w:sz="0" w:space="0" w:color="auto"/>
        <w:right w:val="none" w:sz="0" w:space="0" w:color="auto"/>
      </w:divBdr>
      <w:divsChild>
        <w:div w:id="1352999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E807C-0938-43C9-A5BD-00E6B4F8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8</Pages>
  <Words>2529</Words>
  <Characters>14417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Public Health Law &amp; Policy</Company>
  <LinksUpToDate>false</LinksUpToDate>
  <CharactersWithSpaces>16913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Arroyo Williamson</dc:creator>
  <cp:lastModifiedBy>Sabrina Adler</cp:lastModifiedBy>
  <cp:revision>3</cp:revision>
  <cp:lastPrinted>2018-03-27T16:40:00Z</cp:lastPrinted>
  <dcterms:created xsi:type="dcterms:W3CDTF">2022-03-25T01:18:00Z</dcterms:created>
  <dcterms:modified xsi:type="dcterms:W3CDTF">2022-03-25T19:39:00Z</dcterms:modified>
</cp:coreProperties>
</file>