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F9608" w14:textId="77777777" w:rsidR="00C4293B" w:rsidRPr="005D3F9D" w:rsidRDefault="00C4293B" w:rsidP="000325E2">
      <w:pPr>
        <w:pStyle w:val="Heading1"/>
        <w:spacing w:line="480" w:lineRule="auto"/>
        <w:rPr>
          <w:rFonts w:cs="Arial"/>
          <w:sz w:val="32"/>
        </w:rPr>
      </w:pPr>
      <w:bookmarkStart w:id="0" w:name="_GoBack"/>
      <w:bookmarkEnd w:id="0"/>
      <w:r w:rsidRPr="005D3F9D">
        <w:rPr>
          <w:rFonts w:cs="Arial"/>
        </w:rPr>
        <w:softHyphen/>
      </w:r>
    </w:p>
    <w:p w14:paraId="333B7E29" w14:textId="77777777" w:rsidR="00F21C1B" w:rsidRDefault="00F21C1B" w:rsidP="00932120">
      <w:pPr>
        <w:pStyle w:val="Heading1"/>
        <w:tabs>
          <w:tab w:val="left" w:pos="1980"/>
        </w:tabs>
        <w:spacing w:line="240" w:lineRule="auto"/>
        <w:ind w:left="1800"/>
        <w:rPr>
          <w:sz w:val="22"/>
        </w:rPr>
      </w:pPr>
    </w:p>
    <w:p w14:paraId="0C63A8CA" w14:textId="296613EA" w:rsidR="00F21C1B" w:rsidRDefault="009907BA" w:rsidP="00932120">
      <w:pPr>
        <w:pStyle w:val="Heading1"/>
        <w:tabs>
          <w:tab w:val="left" w:pos="1980"/>
        </w:tabs>
        <w:spacing w:line="240" w:lineRule="auto"/>
        <w:ind w:left="1800"/>
        <w:rPr>
          <w:sz w:val="22"/>
        </w:rPr>
      </w:pPr>
      <w:r>
        <w:rPr>
          <w:rFonts w:ascii="Times New Roman" w:hAnsi="Times New Roman"/>
          <w:noProof/>
          <w:color w:val="auto"/>
        </w:rPr>
        <mc:AlternateContent>
          <mc:Choice Requires="wps">
            <w:drawing>
              <wp:anchor distT="0" distB="0" distL="114300" distR="114300" simplePos="0" relativeHeight="251661312" behindDoc="0" locked="0" layoutInCell="1" allowOverlap="1" wp14:anchorId="4A3CA026" wp14:editId="5A1D1972">
                <wp:simplePos x="0" y="0"/>
                <wp:positionH relativeFrom="column">
                  <wp:posOffset>-1091565</wp:posOffset>
                </wp:positionH>
                <wp:positionV relativeFrom="paragraph">
                  <wp:posOffset>22225</wp:posOffset>
                </wp:positionV>
                <wp:extent cx="7835265" cy="2971800"/>
                <wp:effectExtent l="0" t="0" r="0" b="0"/>
                <wp:wrapTight wrapText="bothSides">
                  <wp:wrapPolygon edited="0">
                    <wp:start x="0" y="0"/>
                    <wp:lineTo x="0" y="21415"/>
                    <wp:lineTo x="21497" y="21415"/>
                    <wp:lineTo x="21497" y="0"/>
                    <wp:lineTo x="0"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97180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92B41" w14:textId="77777777" w:rsidR="00377B4F" w:rsidRPr="00BA511A" w:rsidRDefault="00377B4F" w:rsidP="00F11B02">
                            <w:pPr>
                              <w:pStyle w:val="Center"/>
                              <w:widowControl/>
                              <w:suppressAutoHyphens/>
                              <w:jc w:val="left"/>
                              <w:rPr>
                                <w:rFonts w:ascii="Arial" w:hAnsi="Arial"/>
                                <w:color w:val="FFFFFF" w:themeColor="background1"/>
                              </w:rPr>
                            </w:pPr>
                          </w:p>
                          <w:p w14:paraId="54AD3D45" w14:textId="77777777" w:rsidR="00377B4F" w:rsidRPr="005C2ED0" w:rsidRDefault="00377B4F" w:rsidP="00F21C1B">
                            <w:pPr>
                              <w:pStyle w:val="Center"/>
                              <w:widowControl/>
                              <w:spacing w:line="264" w:lineRule="auto"/>
                              <w:ind w:left="3510" w:right="1611"/>
                              <w:jc w:val="left"/>
                              <w:rPr>
                                <w:rFonts w:ascii="Arial" w:hAnsi="Arial"/>
                                <w:b/>
                                <w:color w:val="FFFFFF" w:themeColor="background1"/>
                                <w:sz w:val="52"/>
                              </w:rPr>
                            </w:pPr>
                            <w:r w:rsidRPr="005C2ED0">
                              <w:rPr>
                                <w:rFonts w:ascii="Arial" w:hAnsi="Arial"/>
                                <w:b/>
                                <w:color w:val="FFFFFF" w:themeColor="background1"/>
                                <w:sz w:val="52"/>
                              </w:rPr>
                              <w:t>Comprehensive Smokefree [and Tobacco Free] Places Ordinance</w:t>
                            </w:r>
                          </w:p>
                          <w:p w14:paraId="1514660C" w14:textId="77777777" w:rsidR="00377B4F" w:rsidRPr="002268A0" w:rsidRDefault="00377B4F" w:rsidP="00F21C1B">
                            <w:pPr>
                              <w:pStyle w:val="Center"/>
                              <w:widowControl/>
                              <w:tabs>
                                <w:tab w:val="left" w:pos="10440"/>
                              </w:tabs>
                              <w:spacing w:before="60"/>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A Model California Ordinance </w:t>
                            </w:r>
                          </w:p>
                          <w:p w14:paraId="4A9B9601" w14:textId="77777777" w:rsidR="00377B4F" w:rsidRPr="002268A0" w:rsidRDefault="00377B4F"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Regulating Smoking (and Tobacco Use) </w:t>
                            </w:r>
                          </w:p>
                          <w:p w14:paraId="4DD66E51" w14:textId="77777777" w:rsidR="00377B4F" w:rsidRPr="002268A0" w:rsidRDefault="00377B4F"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in Indoor and Outdoor Areas</w:t>
                            </w:r>
                          </w:p>
                          <w:p w14:paraId="3652FDFB" w14:textId="77777777" w:rsidR="00377B4F" w:rsidRDefault="00377B4F" w:rsidP="00C83A75">
                            <w:pPr>
                              <w:pStyle w:val="Center"/>
                              <w:widowControl/>
                              <w:spacing w:before="120" w:line="264" w:lineRule="auto"/>
                              <w:ind w:left="3510"/>
                              <w:jc w:val="left"/>
                              <w:rPr>
                                <w:rFonts w:ascii="Arial" w:hAnsi="Arial"/>
                                <w:b/>
                                <w:color w:val="FFFFFF" w:themeColor="background1"/>
                                <w:sz w:val="60"/>
                              </w:rPr>
                            </w:pPr>
                            <w:r>
                              <w:rPr>
                                <w:rFonts w:ascii="Arial" w:hAnsi="Arial"/>
                                <w:caps/>
                                <w:color w:val="FFFFFF" w:themeColor="background1"/>
                                <w:sz w:val="32"/>
                              </w:rPr>
                              <w:t>with Annotations</w:t>
                            </w:r>
                          </w:p>
                          <w:p w14:paraId="28E656E2" w14:textId="77777777" w:rsidR="00377B4F" w:rsidRPr="004F5C23" w:rsidRDefault="00377B4F" w:rsidP="002460DD">
                            <w:pPr>
                              <w:tabs>
                                <w:tab w:val="left" w:pos="2340"/>
                              </w:tabs>
                              <w:suppressAutoHyphens/>
                              <w:spacing w:line="500" w:lineRule="exact"/>
                              <w:ind w:left="3510" w:right="999"/>
                              <w:rPr>
                                <w:rFonts w:ascii="Arial" w:hAnsi="Arial"/>
                                <w:caps/>
                                <w:color w:val="FFFFFF"/>
                                <w:sz w:val="32"/>
                              </w:rPr>
                            </w:pPr>
                          </w:p>
                          <w:p w14:paraId="279FE7A2" w14:textId="77777777" w:rsidR="00377B4F" w:rsidRPr="00FC726B" w:rsidRDefault="00377B4F" w:rsidP="00403CB6">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CA026" id="_x0000_t202" coordsize="21600,21600" o:spt="202" path="m0,0l0,21600,21600,21600,21600,0xe">
                <v:stroke joinstyle="miter"/>
                <v:path gradientshapeok="t" o:connecttype="rect"/>
              </v:shapetype>
              <v:shape id="Text Box 11" o:spid="_x0000_s1026" type="#_x0000_t202" style="position:absolute;left:0;text-align:left;margin-left:-85.95pt;margin-top:1.75pt;width:616.9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" fillcolor="#00598e" stroked="f">
                <v:fill opacity="46517f"/>
                <v:textbox inset=",7.2pt,,7.2pt">
                  <w:txbxContent>
                    <w:p w14:paraId="63692B41" w14:textId="77777777" w:rsidR="00377B4F" w:rsidRPr="00BA511A" w:rsidRDefault="00377B4F" w:rsidP="00F11B02">
                      <w:pPr>
                        <w:pStyle w:val="Center"/>
                        <w:widowControl/>
                        <w:suppressAutoHyphens/>
                        <w:jc w:val="left"/>
                        <w:rPr>
                          <w:rFonts w:ascii="Arial" w:hAnsi="Arial"/>
                          <w:color w:val="FFFFFF" w:themeColor="background1"/>
                        </w:rPr>
                      </w:pPr>
                    </w:p>
                    <w:p w14:paraId="54AD3D45" w14:textId="77777777" w:rsidR="00377B4F" w:rsidRPr="005C2ED0" w:rsidRDefault="00377B4F" w:rsidP="00F21C1B">
                      <w:pPr>
                        <w:pStyle w:val="Center"/>
                        <w:widowControl/>
                        <w:spacing w:line="264" w:lineRule="auto"/>
                        <w:ind w:left="3510" w:right="1611"/>
                        <w:jc w:val="left"/>
                        <w:rPr>
                          <w:rFonts w:ascii="Arial" w:hAnsi="Arial"/>
                          <w:b/>
                          <w:color w:val="FFFFFF" w:themeColor="background1"/>
                          <w:sz w:val="52"/>
                        </w:rPr>
                      </w:pPr>
                      <w:r w:rsidRPr="005C2ED0">
                        <w:rPr>
                          <w:rFonts w:ascii="Arial" w:hAnsi="Arial"/>
                          <w:b/>
                          <w:color w:val="FFFFFF" w:themeColor="background1"/>
                          <w:sz w:val="52"/>
                        </w:rPr>
                        <w:t xml:space="preserve">Comprehensive </w:t>
                      </w:r>
                      <w:proofErr w:type="spellStart"/>
                      <w:r w:rsidRPr="005C2ED0">
                        <w:rPr>
                          <w:rFonts w:ascii="Arial" w:hAnsi="Arial"/>
                          <w:b/>
                          <w:color w:val="FFFFFF" w:themeColor="background1"/>
                          <w:sz w:val="52"/>
                        </w:rPr>
                        <w:t>Smokefree</w:t>
                      </w:r>
                      <w:proofErr w:type="spellEnd"/>
                      <w:r w:rsidRPr="005C2ED0">
                        <w:rPr>
                          <w:rFonts w:ascii="Arial" w:hAnsi="Arial"/>
                          <w:b/>
                          <w:color w:val="FFFFFF" w:themeColor="background1"/>
                          <w:sz w:val="52"/>
                        </w:rPr>
                        <w:t xml:space="preserve"> [and Tobacco Free] Places Ordinance</w:t>
                      </w:r>
                    </w:p>
                    <w:p w14:paraId="1514660C" w14:textId="77777777" w:rsidR="00377B4F" w:rsidRPr="002268A0" w:rsidRDefault="00377B4F" w:rsidP="00F21C1B">
                      <w:pPr>
                        <w:pStyle w:val="Center"/>
                        <w:widowControl/>
                        <w:tabs>
                          <w:tab w:val="left" w:pos="10440"/>
                        </w:tabs>
                        <w:spacing w:before="60"/>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A Model California Ordinance </w:t>
                      </w:r>
                    </w:p>
                    <w:p w14:paraId="4A9B9601" w14:textId="77777777" w:rsidR="00377B4F" w:rsidRPr="002268A0" w:rsidRDefault="00377B4F"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Regulating Smoking (and Tobacco Use) </w:t>
                      </w:r>
                    </w:p>
                    <w:p w14:paraId="4DD66E51" w14:textId="77777777" w:rsidR="00377B4F" w:rsidRPr="002268A0" w:rsidRDefault="00377B4F"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in Indoor and Outdoor Areas</w:t>
                      </w:r>
                    </w:p>
                    <w:p w14:paraId="3652FDFB" w14:textId="77777777" w:rsidR="00377B4F" w:rsidRDefault="00377B4F" w:rsidP="00C83A75">
                      <w:pPr>
                        <w:pStyle w:val="Center"/>
                        <w:widowControl/>
                        <w:spacing w:before="120" w:line="264" w:lineRule="auto"/>
                        <w:ind w:left="3510"/>
                        <w:jc w:val="left"/>
                        <w:rPr>
                          <w:rFonts w:ascii="Arial" w:hAnsi="Arial"/>
                          <w:b/>
                          <w:color w:val="FFFFFF" w:themeColor="background1"/>
                          <w:sz w:val="60"/>
                        </w:rPr>
                      </w:pPr>
                      <w:r>
                        <w:rPr>
                          <w:rFonts w:ascii="Arial" w:hAnsi="Arial"/>
                          <w:caps/>
                          <w:color w:val="FFFFFF" w:themeColor="background1"/>
                          <w:sz w:val="32"/>
                        </w:rPr>
                        <w:t>with Annotations</w:t>
                      </w:r>
                    </w:p>
                    <w:p w14:paraId="28E656E2" w14:textId="77777777" w:rsidR="00377B4F" w:rsidRPr="004F5C23" w:rsidRDefault="00377B4F" w:rsidP="002460DD">
                      <w:pPr>
                        <w:tabs>
                          <w:tab w:val="left" w:pos="2340"/>
                        </w:tabs>
                        <w:suppressAutoHyphens/>
                        <w:spacing w:line="500" w:lineRule="exact"/>
                        <w:ind w:left="3510" w:right="999"/>
                        <w:rPr>
                          <w:rFonts w:ascii="Arial" w:hAnsi="Arial"/>
                          <w:caps/>
                          <w:color w:val="FFFFFF"/>
                          <w:sz w:val="32"/>
                        </w:rPr>
                      </w:pPr>
                    </w:p>
                    <w:p w14:paraId="279FE7A2" w14:textId="77777777" w:rsidR="00377B4F" w:rsidRPr="00FC726B" w:rsidRDefault="00377B4F" w:rsidP="00403CB6">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664F0235" w14:textId="77777777" w:rsidR="00077540" w:rsidRPr="005D3F9D" w:rsidRDefault="00077540" w:rsidP="00932120">
      <w:pPr>
        <w:pStyle w:val="Heading1"/>
        <w:tabs>
          <w:tab w:val="left" w:pos="1980"/>
        </w:tabs>
        <w:spacing w:line="240" w:lineRule="auto"/>
        <w:ind w:left="1800"/>
        <w:rPr>
          <w:sz w:val="22"/>
        </w:rPr>
      </w:pPr>
    </w:p>
    <w:p w14:paraId="00148745" w14:textId="77777777" w:rsidR="002460DD" w:rsidRPr="005D3F9D" w:rsidRDefault="002460DD" w:rsidP="00544672">
      <w:pPr>
        <w:pStyle w:val="Center"/>
        <w:widowControl/>
        <w:suppressAutoHyphens/>
        <w:jc w:val="left"/>
        <w:rPr>
          <w:rFonts w:ascii="Arial" w:hAnsi="Arial"/>
          <w:color w:val="464847"/>
          <w:sz w:val="22"/>
        </w:rPr>
      </w:pPr>
    </w:p>
    <w:p w14:paraId="2E9617A4" w14:textId="40138A09" w:rsidR="00544672" w:rsidRPr="00544672" w:rsidRDefault="00544672" w:rsidP="00544672">
      <w:pPr>
        <w:pStyle w:val="Center"/>
        <w:widowControl/>
        <w:suppressAutoHyphens/>
        <w:ind w:left="1890"/>
        <w:jc w:val="left"/>
        <w:rPr>
          <w:rFonts w:ascii="Arial" w:hAnsi="Arial"/>
          <w:sz w:val="20"/>
        </w:rPr>
      </w:pPr>
      <w:r w:rsidRPr="00544672">
        <w:rPr>
          <w:rFonts w:ascii="Arial" w:hAnsi="Arial"/>
          <w:sz w:val="20"/>
        </w:rPr>
        <w:t xml:space="preserve">Updated </w:t>
      </w:r>
      <w:r w:rsidR="00CC0ADA">
        <w:rPr>
          <w:rFonts w:ascii="Arial" w:hAnsi="Arial"/>
          <w:sz w:val="20"/>
          <w:szCs w:val="24"/>
        </w:rPr>
        <w:t xml:space="preserve">September </w:t>
      </w:r>
      <w:r w:rsidR="00C7754C">
        <w:rPr>
          <w:rFonts w:ascii="Arial" w:hAnsi="Arial"/>
          <w:sz w:val="20"/>
          <w:szCs w:val="24"/>
        </w:rPr>
        <w:t>2018</w:t>
      </w:r>
    </w:p>
    <w:p w14:paraId="4F15C38C" w14:textId="77777777" w:rsidR="00544672" w:rsidRPr="00544672" w:rsidRDefault="00544672" w:rsidP="00544672">
      <w:pPr>
        <w:pStyle w:val="Center"/>
        <w:widowControl/>
        <w:suppressAutoHyphens/>
        <w:ind w:left="1890"/>
        <w:jc w:val="left"/>
        <w:rPr>
          <w:rFonts w:ascii="Arial" w:hAnsi="Arial"/>
          <w:sz w:val="20"/>
        </w:rPr>
      </w:pPr>
      <w:r w:rsidRPr="00544672">
        <w:rPr>
          <w:rFonts w:ascii="Arial" w:hAnsi="Arial"/>
          <w:sz w:val="20"/>
        </w:rPr>
        <w:t>(Originally issued January 2013)</w:t>
      </w:r>
    </w:p>
    <w:p w14:paraId="10FBB897" w14:textId="77777777" w:rsidR="00544672" w:rsidRPr="00544672" w:rsidRDefault="00544672" w:rsidP="00544672">
      <w:pPr>
        <w:pStyle w:val="NormalText"/>
        <w:widowControl/>
        <w:suppressAutoHyphens/>
        <w:ind w:left="1890" w:firstLine="0"/>
        <w:rPr>
          <w:rFonts w:ascii="Arial" w:hAnsi="Arial"/>
          <w:sz w:val="20"/>
        </w:rPr>
      </w:pPr>
    </w:p>
    <w:p w14:paraId="23E52D75"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2A0DA89D" w14:textId="77777777" w:rsid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690A50F8"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4BD1344D"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33D051A1"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r w:rsidRPr="00544672">
        <w:rPr>
          <w:rFonts w:ascii="Arial" w:hAnsi="Arial"/>
          <w:sz w:val="20"/>
        </w:rPr>
        <w:t>Developed by ChangeLab Solutions</w:t>
      </w:r>
    </w:p>
    <w:p w14:paraId="59D8574B"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5B99AEDD" w14:textId="77777777" w:rsidR="00544672" w:rsidRPr="00544672" w:rsidRDefault="00544672" w:rsidP="00544672">
      <w:pPr>
        <w:autoSpaceDE w:val="0"/>
        <w:autoSpaceDN w:val="0"/>
        <w:adjustRightInd w:val="0"/>
        <w:spacing w:line="240" w:lineRule="auto"/>
        <w:ind w:left="1890"/>
        <w:rPr>
          <w:rFonts w:ascii="Arial" w:hAnsi="Arial" w:cs="Calibri"/>
          <w:sz w:val="20"/>
          <w:szCs w:val="30"/>
        </w:rPr>
      </w:pPr>
      <w:r w:rsidRPr="00544672">
        <w:rPr>
          <w:rFonts w:ascii="Arial" w:hAnsi="Arial" w:cs="Calibri"/>
          <w:sz w:val="20"/>
          <w:szCs w:val="30"/>
        </w:rPr>
        <w:t xml:space="preserve">This material was made possible by funds received from </w:t>
      </w:r>
      <w:r w:rsidR="004629F1" w:rsidRPr="00C7754C">
        <w:rPr>
          <w:rFonts w:ascii="Arial" w:hAnsi="Arial" w:cs="Calibri"/>
          <w:sz w:val="20"/>
          <w:szCs w:val="30"/>
        </w:rPr>
        <w:t>Grant Number 14-10214</w:t>
      </w:r>
      <w:r w:rsidRPr="00544672">
        <w:rPr>
          <w:rFonts w:ascii="Arial" w:hAnsi="Arial" w:cs="Calibri"/>
          <w:sz w:val="20"/>
          <w:szCs w:val="30"/>
        </w:rPr>
        <w:t xml:space="preserve"> with the California Department of Public Health, California Tobacco Control Program.</w:t>
      </w:r>
    </w:p>
    <w:p w14:paraId="31D62D3A" w14:textId="77777777" w:rsidR="00544672" w:rsidRPr="00544672" w:rsidRDefault="00544672" w:rsidP="00544672">
      <w:pPr>
        <w:autoSpaceDE w:val="0"/>
        <w:autoSpaceDN w:val="0"/>
        <w:adjustRightInd w:val="0"/>
        <w:spacing w:line="240" w:lineRule="auto"/>
        <w:ind w:left="1890"/>
        <w:rPr>
          <w:rFonts w:ascii="Arial" w:hAnsi="Arial" w:cs="Calibri"/>
          <w:sz w:val="20"/>
          <w:szCs w:val="30"/>
        </w:rPr>
      </w:pPr>
      <w:r w:rsidRPr="00544672">
        <w:rPr>
          <w:rFonts w:ascii="Arial" w:hAnsi="Arial" w:cs="Calibri"/>
          <w:sz w:val="20"/>
          <w:szCs w:val="30"/>
        </w:rPr>
        <w:t> </w:t>
      </w:r>
    </w:p>
    <w:p w14:paraId="0091D4DA"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r w:rsidRPr="00544672">
        <w:rPr>
          <w:rFonts w:ascii="Arial" w:hAnsi="Arial" w:cs="Calibri"/>
          <w:sz w:val="20"/>
          <w:szCs w:val="30"/>
        </w:rPr>
        <w:t xml:space="preserve">© </w:t>
      </w:r>
      <w:r w:rsidR="00C7754C">
        <w:rPr>
          <w:rFonts w:ascii="Arial" w:hAnsi="Arial" w:cs="Calibri"/>
          <w:sz w:val="20"/>
          <w:szCs w:val="30"/>
        </w:rPr>
        <w:t>2018</w:t>
      </w:r>
      <w:r w:rsidR="00C7754C" w:rsidRPr="00544672">
        <w:rPr>
          <w:rFonts w:ascii="Arial" w:hAnsi="Arial" w:cs="Calibri"/>
          <w:sz w:val="20"/>
          <w:szCs w:val="30"/>
        </w:rPr>
        <w:t xml:space="preserve"> </w:t>
      </w:r>
      <w:r w:rsidRPr="00544672">
        <w:rPr>
          <w:rFonts w:ascii="Arial" w:hAnsi="Arial" w:cs="Calibri"/>
          <w:sz w:val="20"/>
          <w:szCs w:val="30"/>
        </w:rPr>
        <w:t>California Department of Public Health. This material may not be reproduced or disseminated without prior written permission from the California Department of Public Health.</w:t>
      </w:r>
    </w:p>
    <w:p w14:paraId="759F6D4F"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00315FCC" w14:textId="77777777" w:rsidR="00544672" w:rsidRDefault="00544672" w:rsidP="00EA7E3B">
      <w:pPr>
        <w:pStyle w:val="nPlancovertext"/>
        <w:tabs>
          <w:tab w:val="left" w:pos="1980"/>
        </w:tabs>
        <w:spacing w:line="240" w:lineRule="auto"/>
        <w:ind w:left="1890" w:right="10"/>
        <w:rPr>
          <w:rFonts w:ascii="Arial" w:hAnsi="Arial" w:cs="Calibri"/>
          <w:sz w:val="20"/>
          <w:szCs w:val="30"/>
        </w:rPr>
      </w:pPr>
    </w:p>
    <w:p w14:paraId="0134C9F0"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6133B1D6" w14:textId="77777777" w:rsidR="00CF3D9D" w:rsidRPr="00CF3D9D" w:rsidRDefault="003B0C7C" w:rsidP="00CF3D9D">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r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173A490E" w14:textId="77777777" w:rsidR="00CF3D9D" w:rsidRDefault="00CF3D9D">
      <w:pPr>
        <w:spacing w:line="240" w:lineRule="auto"/>
        <w:rPr>
          <w:rFonts w:ascii="Times New Roman Bold" w:hAnsi="Times New Roman Bold"/>
          <w:kern w:val="32"/>
          <w:sz w:val="28"/>
          <w:szCs w:val="28"/>
        </w:rPr>
      </w:pPr>
      <w:r>
        <w:br w:type="page"/>
      </w:r>
    </w:p>
    <w:p w14:paraId="321162DF" w14:textId="77777777" w:rsidR="00615A6D" w:rsidRPr="001A7EB0" w:rsidRDefault="00544672" w:rsidP="00544672">
      <w:pPr>
        <w:pStyle w:val="Heading2"/>
        <w:rPr>
          <w:rFonts w:ascii="Arial" w:hAnsi="Arial" w:cs="Arial"/>
          <w:bCs/>
          <w:sz w:val="32"/>
        </w:rPr>
      </w:pPr>
      <w:r w:rsidRPr="001A7EB0">
        <w:rPr>
          <w:rFonts w:ascii="Arial" w:hAnsi="Arial" w:cs="Arial"/>
          <w:bCs/>
          <w:sz w:val="32"/>
        </w:rPr>
        <w:lastRenderedPageBreak/>
        <w:t xml:space="preserve">Introduction </w:t>
      </w:r>
    </w:p>
    <w:p w14:paraId="600AD51C" w14:textId="77777777" w:rsidR="00615A6D" w:rsidRPr="001A7EB0" w:rsidRDefault="00615A6D" w:rsidP="00544672">
      <w:pPr>
        <w:pStyle w:val="BasicParagraph"/>
        <w:rPr>
          <w:sz w:val="23"/>
          <w:szCs w:val="23"/>
        </w:rPr>
      </w:pPr>
      <w:r w:rsidRPr="001A7EB0">
        <w:rPr>
          <w:sz w:val="23"/>
          <w:szCs w:val="23"/>
        </w:rPr>
        <w:t>ChangeLab Solutions developed this Model Ordinance to help California cities and counties limit tobacco use and unwanted exposure to secondhand smoke both indoors and outdoors. As the dangers of tobacco use and secondhand smoke become increasingly well</w:t>
      </w:r>
      <w:r w:rsidR="005D473E" w:rsidRPr="001A7EB0">
        <w:rPr>
          <w:sz w:val="23"/>
          <w:szCs w:val="23"/>
        </w:rPr>
        <w:t>-</w:t>
      </w:r>
      <w:r w:rsidRPr="001A7EB0">
        <w:rPr>
          <w:sz w:val="23"/>
          <w:szCs w:val="23"/>
        </w:rPr>
        <w:t xml:space="preserve">documented, one of the most important steps a community can take to protect and improve its residents’ health is to create more smokefree and tobacco-free spaces. </w:t>
      </w:r>
    </w:p>
    <w:p w14:paraId="1A9E73AF" w14:textId="77777777" w:rsidR="00615A6D" w:rsidRPr="001A7EB0" w:rsidRDefault="00615A6D" w:rsidP="00544672">
      <w:pPr>
        <w:pStyle w:val="BasicParagraph"/>
        <w:rPr>
          <w:sz w:val="23"/>
          <w:szCs w:val="23"/>
        </w:rPr>
      </w:pPr>
    </w:p>
    <w:p w14:paraId="4BC8B240" w14:textId="0CCB76DE" w:rsidR="00C80384" w:rsidRPr="001A7EB0" w:rsidRDefault="00387745" w:rsidP="00544672">
      <w:pPr>
        <w:pStyle w:val="BasicParagraph"/>
        <w:rPr>
          <w:sz w:val="23"/>
          <w:szCs w:val="23"/>
        </w:rPr>
      </w:pPr>
      <w:r w:rsidRPr="001A7EB0">
        <w:rPr>
          <w:sz w:val="23"/>
          <w:szCs w:val="23"/>
        </w:rPr>
        <w:t>Almost</w:t>
      </w:r>
      <w:r w:rsidR="00B6058E" w:rsidRPr="001A7EB0">
        <w:rPr>
          <w:sz w:val="23"/>
          <w:szCs w:val="23"/>
        </w:rPr>
        <w:t xml:space="preserve"> all indoor places of employment in California are now required to be smokefree under state law. The </w:t>
      </w:r>
      <w:r w:rsidR="00615A6D" w:rsidRPr="001A7EB0">
        <w:rPr>
          <w:sz w:val="23"/>
          <w:szCs w:val="23"/>
        </w:rPr>
        <w:t xml:space="preserve">Model Ordinance can assist California cities and counties in making </w:t>
      </w:r>
      <w:r w:rsidR="00615A6D" w:rsidRPr="001A7EB0">
        <w:rPr>
          <w:i/>
          <w:sz w:val="23"/>
          <w:szCs w:val="23"/>
        </w:rPr>
        <w:t>all</w:t>
      </w:r>
      <w:r w:rsidR="00615A6D" w:rsidRPr="001A7EB0">
        <w:rPr>
          <w:sz w:val="23"/>
          <w:szCs w:val="23"/>
        </w:rPr>
        <w:t xml:space="preserve"> indoor workplaces smokefree by eliminating the </w:t>
      </w:r>
      <w:r w:rsidR="00B6058E" w:rsidRPr="001A7EB0">
        <w:rPr>
          <w:sz w:val="23"/>
          <w:szCs w:val="23"/>
        </w:rPr>
        <w:t xml:space="preserve">few remaining </w:t>
      </w:r>
      <w:r w:rsidR="00615A6D" w:rsidRPr="001A7EB0">
        <w:rPr>
          <w:sz w:val="23"/>
          <w:szCs w:val="23"/>
        </w:rPr>
        <w:t xml:space="preserve">exceptions contained in California Labor Code section 6404.5. </w:t>
      </w:r>
      <w:r w:rsidR="00C80384" w:rsidRPr="001A7EB0">
        <w:rPr>
          <w:sz w:val="23"/>
          <w:szCs w:val="23"/>
        </w:rPr>
        <w:t xml:space="preserve">  </w:t>
      </w:r>
    </w:p>
    <w:p w14:paraId="6D6B2B7F" w14:textId="77777777" w:rsidR="00C80384" w:rsidRPr="001A7EB0" w:rsidRDefault="00C80384" w:rsidP="00544672">
      <w:pPr>
        <w:pStyle w:val="BasicParagraph"/>
        <w:rPr>
          <w:sz w:val="23"/>
          <w:szCs w:val="23"/>
        </w:rPr>
      </w:pPr>
    </w:p>
    <w:p w14:paraId="437096B4" w14:textId="77777777" w:rsidR="00615A6D" w:rsidRPr="001A7EB0" w:rsidRDefault="00B6058E" w:rsidP="00544672">
      <w:pPr>
        <w:pStyle w:val="BasicParagraph"/>
        <w:rPr>
          <w:sz w:val="23"/>
          <w:szCs w:val="23"/>
        </w:rPr>
      </w:pPr>
      <w:r w:rsidRPr="001A7EB0">
        <w:rPr>
          <w:sz w:val="23"/>
          <w:szCs w:val="23"/>
        </w:rPr>
        <w:t xml:space="preserve">In addition, the Model Ordinance is designed to </w:t>
      </w:r>
      <w:r w:rsidR="00387745" w:rsidRPr="001A7EB0">
        <w:rPr>
          <w:sz w:val="23"/>
          <w:szCs w:val="23"/>
        </w:rPr>
        <w:t>help</w:t>
      </w:r>
      <w:r w:rsidRPr="001A7EB0">
        <w:rPr>
          <w:sz w:val="23"/>
          <w:szCs w:val="23"/>
        </w:rPr>
        <w:t xml:space="preserve"> local jurisdictions create </w:t>
      </w:r>
      <w:r w:rsidR="004B3973" w:rsidRPr="001A7EB0">
        <w:rPr>
          <w:sz w:val="23"/>
          <w:szCs w:val="23"/>
        </w:rPr>
        <w:t xml:space="preserve">smokefree </w:t>
      </w:r>
      <w:r w:rsidRPr="001A7EB0">
        <w:rPr>
          <w:i/>
          <w:sz w:val="23"/>
          <w:szCs w:val="23"/>
        </w:rPr>
        <w:t>outdoor</w:t>
      </w:r>
      <w:r w:rsidRPr="001A7EB0">
        <w:rPr>
          <w:sz w:val="23"/>
          <w:szCs w:val="23"/>
        </w:rPr>
        <w:t xml:space="preserve"> </w:t>
      </w:r>
      <w:r w:rsidR="004B3973" w:rsidRPr="001A7EB0">
        <w:rPr>
          <w:sz w:val="23"/>
          <w:szCs w:val="23"/>
        </w:rPr>
        <w:t>workplaces</w:t>
      </w:r>
      <w:r w:rsidRPr="001A7EB0">
        <w:rPr>
          <w:sz w:val="23"/>
          <w:szCs w:val="23"/>
        </w:rPr>
        <w:t xml:space="preserve"> to protect the health of employees </w:t>
      </w:r>
      <w:r w:rsidR="0029708A" w:rsidRPr="001A7EB0">
        <w:rPr>
          <w:sz w:val="23"/>
          <w:szCs w:val="23"/>
        </w:rPr>
        <w:t xml:space="preserve">and the public </w:t>
      </w:r>
      <w:r w:rsidRPr="001A7EB0">
        <w:rPr>
          <w:sz w:val="23"/>
          <w:szCs w:val="23"/>
        </w:rPr>
        <w:t xml:space="preserve">in these environments. </w:t>
      </w:r>
      <w:r w:rsidR="00615A6D" w:rsidRPr="001A7EB0">
        <w:rPr>
          <w:sz w:val="23"/>
          <w:szCs w:val="23"/>
        </w:rPr>
        <w:t xml:space="preserve">The Model Ordinance is designed to cover all outdoor spaces, but </w:t>
      </w:r>
      <w:r w:rsidR="00C44197" w:rsidRPr="001A7EB0">
        <w:rPr>
          <w:sz w:val="23"/>
          <w:szCs w:val="23"/>
        </w:rPr>
        <w:t xml:space="preserve">it </w:t>
      </w:r>
      <w:r w:rsidR="00615A6D" w:rsidRPr="001A7EB0">
        <w:rPr>
          <w:sz w:val="23"/>
          <w:szCs w:val="23"/>
        </w:rPr>
        <w:t xml:space="preserve">is fully customizable to fit the specific needs of an individual community. By addressing outdoor tobacco use, this Model Ordinance also helps limit tobacco-related </w:t>
      </w:r>
      <w:r w:rsidR="00387745" w:rsidRPr="001A7EB0">
        <w:rPr>
          <w:sz w:val="23"/>
          <w:szCs w:val="23"/>
        </w:rPr>
        <w:t xml:space="preserve">waste </w:t>
      </w:r>
      <w:r w:rsidR="00615A6D" w:rsidRPr="001A7EB0">
        <w:rPr>
          <w:sz w:val="23"/>
          <w:szCs w:val="23"/>
        </w:rPr>
        <w:t>and promotes Clean Water Act compliance for storm sewers.</w:t>
      </w:r>
      <w:r w:rsidR="00C80384" w:rsidRPr="001A7EB0">
        <w:rPr>
          <w:sz w:val="23"/>
          <w:szCs w:val="23"/>
        </w:rPr>
        <w:t xml:space="preserve"> </w:t>
      </w:r>
    </w:p>
    <w:p w14:paraId="51526310" w14:textId="77777777" w:rsidR="00615A6D" w:rsidRPr="001A7EB0" w:rsidRDefault="00615A6D" w:rsidP="00544672">
      <w:pPr>
        <w:pStyle w:val="BasicParagraph"/>
        <w:rPr>
          <w:sz w:val="23"/>
          <w:szCs w:val="23"/>
        </w:rPr>
      </w:pPr>
    </w:p>
    <w:p w14:paraId="60AF3753" w14:textId="595936E5" w:rsidR="00B3281D" w:rsidRPr="001A7EB0" w:rsidRDefault="00976FA0" w:rsidP="00B3281D">
      <w:pPr>
        <w:pStyle w:val="BasicParagraph"/>
        <w:rPr>
          <w:sz w:val="23"/>
          <w:szCs w:val="23"/>
        </w:rPr>
      </w:pPr>
      <w:r w:rsidRPr="001A7EB0">
        <w:rPr>
          <w:sz w:val="23"/>
          <w:szCs w:val="23"/>
        </w:rPr>
        <w:t xml:space="preserve">This 2018 </w:t>
      </w:r>
      <w:r w:rsidR="00B3281D" w:rsidRPr="001A7EB0">
        <w:rPr>
          <w:sz w:val="23"/>
          <w:szCs w:val="23"/>
        </w:rPr>
        <w:t>edition</w:t>
      </w:r>
      <w:r w:rsidRPr="001A7EB0">
        <w:rPr>
          <w:sz w:val="23"/>
          <w:szCs w:val="23"/>
        </w:rPr>
        <w:t xml:space="preserve"> of the Model Ordinance</w:t>
      </w:r>
      <w:r w:rsidR="00B3281D" w:rsidRPr="001A7EB0">
        <w:rPr>
          <w:sz w:val="23"/>
          <w:szCs w:val="23"/>
        </w:rPr>
        <w:t xml:space="preserve"> </w:t>
      </w:r>
      <w:r w:rsidR="00DB1B9A" w:rsidRPr="001A7EB0">
        <w:rPr>
          <w:sz w:val="23"/>
          <w:szCs w:val="23"/>
        </w:rPr>
        <w:t xml:space="preserve">will </w:t>
      </w:r>
      <w:r w:rsidR="00387745" w:rsidRPr="001A7EB0">
        <w:rPr>
          <w:sz w:val="23"/>
          <w:szCs w:val="23"/>
        </w:rPr>
        <w:t xml:space="preserve">also </w:t>
      </w:r>
      <w:r w:rsidR="00DB1B9A" w:rsidRPr="001A7EB0">
        <w:rPr>
          <w:sz w:val="23"/>
          <w:szCs w:val="23"/>
        </w:rPr>
        <w:t>help local jurisdictions address</w:t>
      </w:r>
      <w:r w:rsidR="00B3281D" w:rsidRPr="001A7EB0">
        <w:rPr>
          <w:sz w:val="23"/>
          <w:szCs w:val="23"/>
        </w:rPr>
        <w:t xml:space="preserve"> a significant change in state law</w:t>
      </w:r>
      <w:r w:rsidR="00C44197" w:rsidRPr="001A7EB0">
        <w:rPr>
          <w:sz w:val="23"/>
          <w:szCs w:val="23"/>
        </w:rPr>
        <w:t>—</w:t>
      </w:r>
      <w:r w:rsidR="00B3281D" w:rsidRPr="001A7EB0">
        <w:rPr>
          <w:sz w:val="23"/>
          <w:szCs w:val="23"/>
        </w:rPr>
        <w:t xml:space="preserve">the legalization of cannabis </w:t>
      </w:r>
      <w:r w:rsidR="006F5B3E" w:rsidRPr="001A7EB0">
        <w:rPr>
          <w:sz w:val="23"/>
          <w:szCs w:val="23"/>
        </w:rPr>
        <w:t xml:space="preserve">for adult </w:t>
      </w:r>
      <w:r w:rsidR="00B3281D" w:rsidRPr="001A7EB0">
        <w:rPr>
          <w:sz w:val="23"/>
          <w:szCs w:val="23"/>
        </w:rPr>
        <w:t xml:space="preserve">use. Although it is now legal </w:t>
      </w:r>
      <w:r w:rsidR="00387745" w:rsidRPr="001A7EB0">
        <w:rPr>
          <w:sz w:val="23"/>
          <w:szCs w:val="23"/>
        </w:rPr>
        <w:t xml:space="preserve">for adults </w:t>
      </w:r>
      <w:r w:rsidR="00B3281D" w:rsidRPr="001A7EB0">
        <w:rPr>
          <w:sz w:val="23"/>
          <w:szCs w:val="23"/>
        </w:rPr>
        <w:t xml:space="preserve">to </w:t>
      </w:r>
      <w:r w:rsidR="00387745" w:rsidRPr="001A7EB0">
        <w:rPr>
          <w:sz w:val="23"/>
          <w:szCs w:val="23"/>
        </w:rPr>
        <w:t>use</w:t>
      </w:r>
      <w:r w:rsidR="00B3281D" w:rsidRPr="001A7EB0">
        <w:rPr>
          <w:sz w:val="23"/>
          <w:szCs w:val="23"/>
        </w:rPr>
        <w:t xml:space="preserve"> </w:t>
      </w:r>
      <w:r w:rsidR="00387745" w:rsidRPr="001A7EB0">
        <w:rPr>
          <w:sz w:val="23"/>
          <w:szCs w:val="23"/>
        </w:rPr>
        <w:t>non-medicinal cannabis</w:t>
      </w:r>
      <w:r w:rsidR="00B3281D" w:rsidRPr="001A7EB0">
        <w:rPr>
          <w:sz w:val="23"/>
          <w:szCs w:val="23"/>
        </w:rPr>
        <w:t xml:space="preserve">, state law clearly </w:t>
      </w:r>
      <w:r w:rsidR="0029708A" w:rsidRPr="001A7EB0">
        <w:rPr>
          <w:sz w:val="23"/>
          <w:szCs w:val="23"/>
        </w:rPr>
        <w:t xml:space="preserve">limits where one can smoke it. </w:t>
      </w:r>
      <w:r w:rsidR="00B3281D" w:rsidRPr="001A7EB0">
        <w:rPr>
          <w:sz w:val="23"/>
          <w:szCs w:val="23"/>
        </w:rPr>
        <w:t xml:space="preserve">Specifically, cannabis cannot be smoked in public places </w:t>
      </w:r>
      <w:r w:rsidR="00CB4701" w:rsidRPr="001A7EB0">
        <w:rPr>
          <w:sz w:val="23"/>
          <w:szCs w:val="23"/>
        </w:rPr>
        <w:t>or</w:t>
      </w:r>
      <w:r w:rsidR="00B3281D" w:rsidRPr="001A7EB0">
        <w:rPr>
          <w:sz w:val="23"/>
          <w:szCs w:val="23"/>
        </w:rPr>
        <w:t xml:space="preserve"> anywhere </w:t>
      </w:r>
      <w:r w:rsidR="00BA161D" w:rsidRPr="001A7EB0">
        <w:rPr>
          <w:sz w:val="23"/>
          <w:szCs w:val="23"/>
        </w:rPr>
        <w:t>smoking tobacco is prohibited,</w:t>
      </w:r>
      <w:r w:rsidR="00B3281D" w:rsidRPr="001A7EB0">
        <w:rPr>
          <w:sz w:val="23"/>
          <w:szCs w:val="23"/>
        </w:rPr>
        <w:t xml:space="preserve"> whether b</w:t>
      </w:r>
      <w:r w:rsidR="0029708A" w:rsidRPr="001A7EB0">
        <w:rPr>
          <w:sz w:val="23"/>
          <w:szCs w:val="23"/>
        </w:rPr>
        <w:t xml:space="preserve">y state or local law. </w:t>
      </w:r>
      <w:r w:rsidR="00B3281D" w:rsidRPr="001A7EB0">
        <w:rPr>
          <w:sz w:val="23"/>
          <w:szCs w:val="23"/>
        </w:rPr>
        <w:t>Thus, the Model Ordinance regulate</w:t>
      </w:r>
      <w:r w:rsidR="004B0BDD" w:rsidRPr="001A7EB0">
        <w:rPr>
          <w:sz w:val="23"/>
          <w:szCs w:val="23"/>
        </w:rPr>
        <w:t>s</w:t>
      </w:r>
      <w:r w:rsidR="00B3281D" w:rsidRPr="001A7EB0">
        <w:rPr>
          <w:sz w:val="23"/>
          <w:szCs w:val="23"/>
        </w:rPr>
        <w:t xml:space="preserve"> cannabis smoking</w:t>
      </w:r>
      <w:r w:rsidR="00C44197" w:rsidRPr="001A7EB0">
        <w:rPr>
          <w:sz w:val="23"/>
          <w:szCs w:val="23"/>
        </w:rPr>
        <w:t>—</w:t>
      </w:r>
      <w:r w:rsidR="00DB1B9A" w:rsidRPr="001A7EB0">
        <w:rPr>
          <w:sz w:val="23"/>
          <w:szCs w:val="23"/>
        </w:rPr>
        <w:t>indoors and out</w:t>
      </w:r>
      <w:r w:rsidR="00C44197" w:rsidRPr="001A7EB0">
        <w:rPr>
          <w:sz w:val="23"/>
          <w:szCs w:val="23"/>
        </w:rPr>
        <w:t>—</w:t>
      </w:r>
      <w:r w:rsidR="00E71315" w:rsidRPr="001A7EB0">
        <w:rPr>
          <w:sz w:val="23"/>
          <w:szCs w:val="23"/>
        </w:rPr>
        <w:t>where</w:t>
      </w:r>
      <w:r w:rsidR="00302258" w:rsidRPr="001A7EB0">
        <w:rPr>
          <w:sz w:val="23"/>
          <w:szCs w:val="23"/>
        </w:rPr>
        <w:t>ver</w:t>
      </w:r>
      <w:r w:rsidR="00E71315" w:rsidRPr="001A7EB0">
        <w:rPr>
          <w:sz w:val="23"/>
          <w:szCs w:val="23"/>
        </w:rPr>
        <w:t xml:space="preserve"> tobacco smoking is prohibited</w:t>
      </w:r>
      <w:r w:rsidR="0029708A" w:rsidRPr="001A7EB0">
        <w:rPr>
          <w:sz w:val="23"/>
          <w:szCs w:val="23"/>
        </w:rPr>
        <w:t xml:space="preserve">. </w:t>
      </w:r>
    </w:p>
    <w:p w14:paraId="3CEA552D" w14:textId="77777777" w:rsidR="00A928B6" w:rsidRPr="001A7EB0" w:rsidRDefault="00A928B6" w:rsidP="00A928B6">
      <w:pPr>
        <w:pStyle w:val="BasicParagraph"/>
        <w:ind w:left="720"/>
        <w:rPr>
          <w:sz w:val="23"/>
          <w:szCs w:val="23"/>
        </w:rPr>
      </w:pPr>
    </w:p>
    <w:p w14:paraId="04D27A04" w14:textId="77777777" w:rsidR="00615A6D" w:rsidRPr="001A7EB0" w:rsidRDefault="00615A6D" w:rsidP="00544672">
      <w:pPr>
        <w:pStyle w:val="BasicParagraph"/>
        <w:rPr>
          <w:sz w:val="23"/>
          <w:szCs w:val="23"/>
        </w:rPr>
      </w:pPr>
      <w:r w:rsidRPr="001A7EB0">
        <w:rPr>
          <w:sz w:val="23"/>
          <w:szCs w:val="23"/>
        </w:rPr>
        <w:t>To assist cities and counties in creating smokefree and tobacco-free places, this Model Ordinance includes</w:t>
      </w:r>
    </w:p>
    <w:p w14:paraId="199F96B0" w14:textId="77777777" w:rsidR="00615A6D" w:rsidRPr="001A7EB0" w:rsidRDefault="00615A6D" w:rsidP="00615A6D">
      <w:pPr>
        <w:pStyle w:val="NormalText"/>
        <w:widowControl/>
        <w:ind w:firstLine="0"/>
        <w:rPr>
          <w:sz w:val="23"/>
          <w:szCs w:val="23"/>
        </w:rPr>
      </w:pPr>
    </w:p>
    <w:p w14:paraId="1A64B05C" w14:textId="77777777" w:rsidR="00615A6D" w:rsidRPr="001A7EB0" w:rsidRDefault="00615A6D" w:rsidP="00544672">
      <w:pPr>
        <w:pStyle w:val="bullets"/>
        <w:rPr>
          <w:sz w:val="23"/>
          <w:szCs w:val="23"/>
        </w:rPr>
      </w:pPr>
      <w:r w:rsidRPr="001A7EB0">
        <w:rPr>
          <w:sz w:val="23"/>
          <w:szCs w:val="23"/>
        </w:rPr>
        <w:t xml:space="preserve">extensive findings documenting the health risks associated with tobacco use and exposure to secondhand tobacco smoke and the </w:t>
      </w:r>
      <w:r w:rsidR="004227EE" w:rsidRPr="001A7EB0">
        <w:rPr>
          <w:sz w:val="23"/>
          <w:szCs w:val="23"/>
        </w:rPr>
        <w:t xml:space="preserve">aerosol </w:t>
      </w:r>
      <w:r w:rsidRPr="001A7EB0">
        <w:rPr>
          <w:sz w:val="23"/>
          <w:szCs w:val="23"/>
        </w:rPr>
        <w:t xml:space="preserve">produced by electronic smoking devices; </w:t>
      </w:r>
    </w:p>
    <w:p w14:paraId="23CE8BC5" w14:textId="77777777" w:rsidR="00615A6D" w:rsidRPr="001A7EB0" w:rsidRDefault="00615A6D" w:rsidP="00544672">
      <w:pPr>
        <w:pStyle w:val="bullets"/>
        <w:rPr>
          <w:sz w:val="23"/>
          <w:szCs w:val="23"/>
        </w:rPr>
      </w:pPr>
      <w:r w:rsidRPr="001A7EB0">
        <w:rPr>
          <w:sz w:val="23"/>
          <w:szCs w:val="23"/>
        </w:rPr>
        <w:t xml:space="preserve">prohibitions on smoking in </w:t>
      </w:r>
      <w:r w:rsidR="00DB1B9A" w:rsidRPr="001A7EB0">
        <w:rPr>
          <w:sz w:val="23"/>
          <w:szCs w:val="23"/>
        </w:rPr>
        <w:t xml:space="preserve">all </w:t>
      </w:r>
      <w:r w:rsidRPr="001A7EB0">
        <w:rPr>
          <w:sz w:val="23"/>
          <w:szCs w:val="23"/>
        </w:rPr>
        <w:t>enclosed workplaces</w:t>
      </w:r>
      <w:r w:rsidR="00DB1B9A" w:rsidRPr="001A7EB0">
        <w:rPr>
          <w:sz w:val="23"/>
          <w:szCs w:val="23"/>
        </w:rPr>
        <w:t xml:space="preserve">, including the few indoor places of employment </w:t>
      </w:r>
      <w:r w:rsidRPr="001A7EB0">
        <w:rPr>
          <w:sz w:val="23"/>
          <w:szCs w:val="23"/>
        </w:rPr>
        <w:t>not covered by the state smokefree workplace law;</w:t>
      </w:r>
    </w:p>
    <w:p w14:paraId="45D4CFF2" w14:textId="77777777" w:rsidR="00615A6D" w:rsidRPr="001A7EB0" w:rsidRDefault="00615A6D" w:rsidP="00544672">
      <w:pPr>
        <w:pStyle w:val="bullets"/>
        <w:rPr>
          <w:sz w:val="23"/>
          <w:szCs w:val="23"/>
        </w:rPr>
      </w:pPr>
      <w:r w:rsidRPr="001A7EB0">
        <w:rPr>
          <w:sz w:val="23"/>
          <w:szCs w:val="23"/>
        </w:rPr>
        <w:t xml:space="preserve">prohibitions on smoking in outdoor places including </w:t>
      </w:r>
      <w:r w:rsidR="0029708A" w:rsidRPr="001A7EB0">
        <w:rPr>
          <w:sz w:val="23"/>
          <w:szCs w:val="23"/>
        </w:rPr>
        <w:t xml:space="preserve">outdoor places of employment such as construction sites and restaurant patios, </w:t>
      </w:r>
      <w:r w:rsidRPr="001A7EB0">
        <w:rPr>
          <w:sz w:val="23"/>
          <w:szCs w:val="23"/>
        </w:rPr>
        <w:t xml:space="preserve">parks and other recreational areas, bus stops, public event sites, and </w:t>
      </w:r>
      <w:r w:rsidR="0029708A" w:rsidRPr="001A7EB0">
        <w:rPr>
          <w:sz w:val="23"/>
          <w:szCs w:val="23"/>
        </w:rPr>
        <w:t xml:space="preserve">outdoor </w:t>
      </w:r>
      <w:r w:rsidRPr="001A7EB0">
        <w:rPr>
          <w:color w:val="auto"/>
          <w:sz w:val="23"/>
          <w:szCs w:val="23"/>
        </w:rPr>
        <w:t xml:space="preserve">common areas of </w:t>
      </w:r>
      <w:r w:rsidR="002B5041" w:rsidRPr="001A7EB0">
        <w:rPr>
          <w:color w:val="auto"/>
          <w:sz w:val="23"/>
          <w:szCs w:val="23"/>
        </w:rPr>
        <w:t>multiunit</w:t>
      </w:r>
      <w:r w:rsidRPr="001A7EB0">
        <w:rPr>
          <w:color w:val="auto"/>
          <w:sz w:val="23"/>
          <w:szCs w:val="23"/>
        </w:rPr>
        <w:t xml:space="preserve"> housing;</w:t>
      </w:r>
    </w:p>
    <w:p w14:paraId="103A466B" w14:textId="77777777" w:rsidR="00615A6D" w:rsidRPr="001A7EB0" w:rsidRDefault="00615A6D" w:rsidP="00544672">
      <w:pPr>
        <w:pStyle w:val="bullets"/>
        <w:rPr>
          <w:sz w:val="23"/>
          <w:szCs w:val="23"/>
        </w:rPr>
      </w:pPr>
      <w:r w:rsidRPr="001A7EB0">
        <w:rPr>
          <w:sz w:val="23"/>
          <w:szCs w:val="23"/>
        </w:rPr>
        <w:t xml:space="preserve">optional language that can be included to prohibit </w:t>
      </w:r>
      <w:r w:rsidRPr="001A7EB0">
        <w:rPr>
          <w:i/>
          <w:sz w:val="23"/>
          <w:szCs w:val="23"/>
        </w:rPr>
        <w:t>all</w:t>
      </w:r>
      <w:r w:rsidRPr="001A7EB0">
        <w:rPr>
          <w:sz w:val="23"/>
          <w:szCs w:val="23"/>
        </w:rPr>
        <w:t xml:space="preserve"> tobacco use (including the use of smokeless tobacco, for instance) in indoor and outdoor places; </w:t>
      </w:r>
    </w:p>
    <w:p w14:paraId="26AC1FA2" w14:textId="77777777" w:rsidR="00615A6D" w:rsidRPr="001A7EB0" w:rsidRDefault="00615A6D" w:rsidP="00544672">
      <w:pPr>
        <w:pStyle w:val="bullets"/>
        <w:rPr>
          <w:sz w:val="23"/>
          <w:szCs w:val="23"/>
        </w:rPr>
      </w:pPr>
      <w:r w:rsidRPr="001A7EB0">
        <w:rPr>
          <w:sz w:val="23"/>
          <w:szCs w:val="23"/>
        </w:rPr>
        <w:t>requirements for posting No Smoking signs; and</w:t>
      </w:r>
    </w:p>
    <w:p w14:paraId="34465C80" w14:textId="77777777" w:rsidR="00615A6D" w:rsidRPr="001A7EB0" w:rsidRDefault="00615A6D" w:rsidP="00824922">
      <w:pPr>
        <w:pStyle w:val="bullets"/>
        <w:spacing w:after="0"/>
        <w:rPr>
          <w:sz w:val="23"/>
          <w:szCs w:val="23"/>
        </w:rPr>
      </w:pPr>
      <w:r w:rsidRPr="001A7EB0">
        <w:rPr>
          <w:sz w:val="23"/>
          <w:szCs w:val="23"/>
        </w:rPr>
        <w:t>robust enforcement mechanisms, including the option for private individuals and organizations to enforce the provisions of this ordinance.</w:t>
      </w:r>
    </w:p>
    <w:p w14:paraId="0A575B64" w14:textId="77777777" w:rsidR="00DB1B9A" w:rsidRPr="001A7EB0" w:rsidRDefault="00DB1B9A" w:rsidP="00615A6D">
      <w:pPr>
        <w:pStyle w:val="NormalText"/>
        <w:widowControl/>
        <w:ind w:firstLine="0"/>
        <w:rPr>
          <w:sz w:val="23"/>
          <w:szCs w:val="23"/>
        </w:rPr>
      </w:pPr>
    </w:p>
    <w:p w14:paraId="5459CA58" w14:textId="1BC280A9" w:rsidR="00615A6D" w:rsidRPr="001A7EB0" w:rsidRDefault="00DB1B9A" w:rsidP="00B05B50">
      <w:pPr>
        <w:pStyle w:val="BasicParagraph"/>
        <w:rPr>
          <w:sz w:val="23"/>
          <w:szCs w:val="23"/>
        </w:rPr>
      </w:pPr>
      <w:r w:rsidRPr="001A7EB0">
        <w:rPr>
          <w:sz w:val="23"/>
          <w:szCs w:val="23"/>
        </w:rPr>
        <w:t xml:space="preserve">While state law </w:t>
      </w:r>
      <w:r w:rsidR="00A41C06" w:rsidRPr="001A7EB0">
        <w:rPr>
          <w:sz w:val="23"/>
          <w:szCs w:val="23"/>
        </w:rPr>
        <w:t>only</w:t>
      </w:r>
      <w:r w:rsidR="004D3468" w:rsidRPr="001A7EB0">
        <w:rPr>
          <w:sz w:val="23"/>
          <w:szCs w:val="23"/>
        </w:rPr>
        <w:t xml:space="preserve"> </w:t>
      </w:r>
      <w:r w:rsidRPr="001A7EB0">
        <w:rPr>
          <w:sz w:val="23"/>
          <w:szCs w:val="23"/>
        </w:rPr>
        <w:t xml:space="preserve">recently expanded its definition of tobacco products to specifically incorporate electronic smoking devices (eg, e-cigarettes), the Model Ordinance has </w:t>
      </w:r>
      <w:r w:rsidR="00553822" w:rsidRPr="001A7EB0">
        <w:rPr>
          <w:sz w:val="23"/>
          <w:szCs w:val="23"/>
        </w:rPr>
        <w:t>included electronic</w:t>
      </w:r>
      <w:r w:rsidR="00615A6D" w:rsidRPr="001A7EB0">
        <w:rPr>
          <w:sz w:val="23"/>
          <w:szCs w:val="23"/>
        </w:rPr>
        <w:t xml:space="preserve"> smoking devices within </w:t>
      </w:r>
      <w:r w:rsidRPr="001A7EB0">
        <w:rPr>
          <w:sz w:val="23"/>
          <w:szCs w:val="23"/>
        </w:rPr>
        <w:t xml:space="preserve">its </w:t>
      </w:r>
      <w:r w:rsidR="00615A6D" w:rsidRPr="001A7EB0">
        <w:rPr>
          <w:sz w:val="23"/>
          <w:szCs w:val="23"/>
        </w:rPr>
        <w:t>definition</w:t>
      </w:r>
      <w:r w:rsidRPr="001A7EB0">
        <w:rPr>
          <w:sz w:val="23"/>
          <w:szCs w:val="23"/>
        </w:rPr>
        <w:t xml:space="preserve"> of “Tobacco Products” since 2015</w:t>
      </w:r>
      <w:r w:rsidR="00615A6D" w:rsidRPr="001A7EB0">
        <w:rPr>
          <w:sz w:val="23"/>
          <w:szCs w:val="23"/>
        </w:rPr>
        <w:t>.</w:t>
      </w:r>
      <w:r w:rsidRPr="001A7EB0">
        <w:rPr>
          <w:sz w:val="23"/>
          <w:szCs w:val="23"/>
        </w:rPr>
        <w:t xml:space="preserve"> Having t</w:t>
      </w:r>
      <w:r w:rsidR="00615A6D" w:rsidRPr="001A7EB0">
        <w:rPr>
          <w:sz w:val="23"/>
          <w:szCs w:val="23"/>
        </w:rPr>
        <w:t>his broad definition ensure</w:t>
      </w:r>
      <w:r w:rsidRPr="001A7EB0">
        <w:rPr>
          <w:sz w:val="23"/>
          <w:szCs w:val="23"/>
        </w:rPr>
        <w:t>s</w:t>
      </w:r>
      <w:r w:rsidR="00615A6D" w:rsidRPr="001A7EB0">
        <w:rPr>
          <w:sz w:val="23"/>
          <w:szCs w:val="23"/>
        </w:rPr>
        <w:t xml:space="preserve"> that the use of electronic smoking devices is regulated in the same manner as conventional tobacco products. </w:t>
      </w:r>
    </w:p>
    <w:p w14:paraId="13B46298" w14:textId="77777777" w:rsidR="00615A6D" w:rsidRPr="001A7EB0" w:rsidRDefault="00615A6D" w:rsidP="00B05B50">
      <w:pPr>
        <w:pStyle w:val="BasicParagraph"/>
        <w:rPr>
          <w:sz w:val="23"/>
          <w:szCs w:val="23"/>
        </w:rPr>
      </w:pPr>
    </w:p>
    <w:p w14:paraId="0A3725C8" w14:textId="0049F400" w:rsidR="00615A6D" w:rsidRPr="001A7EB0" w:rsidRDefault="00615A6D" w:rsidP="00B05B50">
      <w:pPr>
        <w:pStyle w:val="BasicParagraph"/>
        <w:rPr>
          <w:sz w:val="23"/>
          <w:szCs w:val="23"/>
        </w:rPr>
      </w:pPr>
      <w:r w:rsidRPr="001A7EB0">
        <w:rPr>
          <w:sz w:val="23"/>
          <w:szCs w:val="23"/>
        </w:rPr>
        <w:t xml:space="preserve">Some of the comments in the Model Ordinance describe ways to narrow the scope of the smoking restrictions, should that be desired. In addition, optional language is available to broaden the scope of the ordinance to restrict not only smoking but </w:t>
      </w:r>
      <w:r w:rsidRPr="001A7EB0">
        <w:rPr>
          <w:i/>
          <w:sz w:val="23"/>
          <w:szCs w:val="23"/>
        </w:rPr>
        <w:t xml:space="preserve">all </w:t>
      </w:r>
      <w:r w:rsidRPr="001A7EB0">
        <w:rPr>
          <w:sz w:val="23"/>
          <w:szCs w:val="23"/>
        </w:rPr>
        <w:t xml:space="preserve">tobacco use (eg, smokeless tobacco). </w:t>
      </w:r>
    </w:p>
    <w:p w14:paraId="00B124DB" w14:textId="77777777" w:rsidR="00615A6D" w:rsidRPr="001A7EB0" w:rsidRDefault="00615A6D" w:rsidP="00B05B50">
      <w:pPr>
        <w:pStyle w:val="BasicParagraph"/>
        <w:rPr>
          <w:sz w:val="23"/>
          <w:szCs w:val="23"/>
        </w:rPr>
      </w:pPr>
    </w:p>
    <w:p w14:paraId="26DF85B4" w14:textId="1A91AB5D" w:rsidR="00615A6D" w:rsidRPr="001A7EB0" w:rsidRDefault="00615A6D" w:rsidP="00B05B50">
      <w:pPr>
        <w:pStyle w:val="BasicParagraph"/>
        <w:rPr>
          <w:sz w:val="23"/>
          <w:szCs w:val="23"/>
        </w:rPr>
      </w:pPr>
      <w:r w:rsidRPr="001A7EB0">
        <w:rPr>
          <w:sz w:val="23"/>
          <w:szCs w:val="23"/>
        </w:rPr>
        <w:t xml:space="preserve">The Model Ordinance offers a variety of options. In some instances, blanks (eg, [ ____ ] ) prompt you to customize the language to fit your community’s needs. In other cases, the ordinance offers you a choice of options (eg, [ </w:t>
      </w:r>
      <w:r w:rsidRPr="001A7EB0">
        <w:rPr>
          <w:sz w:val="23"/>
          <w:szCs w:val="23"/>
          <w:u w:val="single"/>
        </w:rPr>
        <w:t>choice one</w:t>
      </w:r>
      <w:r w:rsidRPr="001A7EB0">
        <w:rPr>
          <w:sz w:val="23"/>
          <w:szCs w:val="23"/>
        </w:rPr>
        <w:t xml:space="preserve"> / </w:t>
      </w:r>
      <w:r w:rsidRPr="001A7EB0">
        <w:rPr>
          <w:sz w:val="23"/>
          <w:szCs w:val="23"/>
          <w:u w:val="double"/>
        </w:rPr>
        <w:t>choice two</w:t>
      </w:r>
      <w:r w:rsidRPr="001A7EB0">
        <w:rPr>
          <w:sz w:val="23"/>
          <w:szCs w:val="23"/>
        </w:rPr>
        <w:t xml:space="preserve"> ] ). Some of the options are followed by a comment that describes the legal provisions in more detail. Some degree of customization is always necessary to make sure that the ordinance is consistent with a community’s existing laws. Your city attorney or county counsel will likely be the best person to check this for you.</w:t>
      </w:r>
    </w:p>
    <w:p w14:paraId="6819214E" w14:textId="77777777" w:rsidR="00615A6D" w:rsidRPr="001A7EB0" w:rsidRDefault="00615A6D" w:rsidP="00B05B50">
      <w:pPr>
        <w:pStyle w:val="BasicParagraph"/>
        <w:rPr>
          <w:sz w:val="23"/>
          <w:szCs w:val="23"/>
        </w:rPr>
      </w:pPr>
    </w:p>
    <w:p w14:paraId="271FADA7" w14:textId="77777777" w:rsidR="001C7DC2" w:rsidRPr="001A7EB0" w:rsidRDefault="00615A6D" w:rsidP="00B05B50">
      <w:pPr>
        <w:pStyle w:val="BasicParagraph"/>
        <w:rPr>
          <w:sz w:val="23"/>
          <w:szCs w:val="23"/>
        </w:rPr>
      </w:pPr>
      <w:r w:rsidRPr="001A7EB0">
        <w:rPr>
          <w:sz w:val="23"/>
          <w:szCs w:val="23"/>
        </w:rPr>
        <w:t xml:space="preserve">ChangeLab Solutions also has developed a separate </w:t>
      </w:r>
      <w:hyperlink r:id="rId8" w:history="1">
        <w:r w:rsidR="00D4779F" w:rsidRPr="001A7EB0">
          <w:rPr>
            <w:rStyle w:val="Hyperlink"/>
            <w:sz w:val="23"/>
            <w:szCs w:val="23"/>
            <w:u w:val="none"/>
          </w:rPr>
          <w:t>Smokefree Housing Model Ordinance</w:t>
        </w:r>
      </w:hyperlink>
      <w:r w:rsidRPr="001A7EB0">
        <w:rPr>
          <w:sz w:val="23"/>
          <w:szCs w:val="23"/>
        </w:rPr>
        <w:t xml:space="preserve"> to create smokefree </w:t>
      </w:r>
      <w:r w:rsidR="002B5041" w:rsidRPr="001A7EB0">
        <w:rPr>
          <w:sz w:val="23"/>
          <w:szCs w:val="23"/>
        </w:rPr>
        <w:t>multiunit</w:t>
      </w:r>
      <w:r w:rsidRPr="001A7EB0">
        <w:rPr>
          <w:sz w:val="23"/>
          <w:szCs w:val="23"/>
        </w:rPr>
        <w:t xml:space="preserve"> housing by limiting smoking inside units and common areas. Some of the areas covered by that ordinance are also included in this Model Ordinance. </w:t>
      </w:r>
    </w:p>
    <w:p w14:paraId="0555A8A7" w14:textId="77777777" w:rsidR="001C7DC2" w:rsidRPr="001A7EB0" w:rsidRDefault="001C7DC2" w:rsidP="00B05B50">
      <w:pPr>
        <w:pStyle w:val="BasicParagraph"/>
        <w:rPr>
          <w:sz w:val="23"/>
          <w:szCs w:val="23"/>
        </w:rPr>
      </w:pPr>
    </w:p>
    <w:p w14:paraId="4233BEFF" w14:textId="772D6B10" w:rsidR="00615A6D" w:rsidRDefault="001C7DC2" w:rsidP="001C7DC2">
      <w:pPr>
        <w:spacing w:line="276" w:lineRule="auto"/>
        <w:rPr>
          <w:i/>
          <w:color w:val="00598D"/>
        </w:rPr>
      </w:pPr>
      <w:r w:rsidRPr="001A7EB0">
        <w:rPr>
          <w:sz w:val="23"/>
          <w:szCs w:val="23"/>
        </w:rPr>
        <w:t xml:space="preserve">This </w:t>
      </w:r>
      <w:r w:rsidR="00C44197" w:rsidRPr="001A7EB0">
        <w:rPr>
          <w:sz w:val="23"/>
          <w:szCs w:val="23"/>
        </w:rPr>
        <w:t>i</w:t>
      </w:r>
      <w:r w:rsidRPr="001A7EB0">
        <w:rPr>
          <w:sz w:val="23"/>
          <w:szCs w:val="23"/>
        </w:rPr>
        <w:t xml:space="preserve">ntroduction section summarizes our nonpartisan analysis and study of the public health problem surrounding tobacco use. It also provides a rationale for regulations on the use of tobacco products as one possible policy intervention. It is intended for broad distribution to the public for the purpose of education and dissemination of information. Our presentation of this Model Ordinance, including this </w:t>
      </w:r>
      <w:r w:rsidR="00C44197" w:rsidRPr="001A7EB0">
        <w:rPr>
          <w:sz w:val="23"/>
          <w:szCs w:val="23"/>
        </w:rPr>
        <w:t>i</w:t>
      </w:r>
      <w:r w:rsidRPr="001A7EB0">
        <w:rPr>
          <w:sz w:val="23"/>
          <w:szCs w:val="23"/>
        </w:rPr>
        <w:t xml:space="preserve">ntroduction, is based on our independent and objective analysis of the relevant law, evidence, and available data, and should enable </w:t>
      </w:r>
      <w:r w:rsidR="00C44197" w:rsidRPr="001A7EB0">
        <w:rPr>
          <w:sz w:val="23"/>
          <w:szCs w:val="23"/>
        </w:rPr>
        <w:t xml:space="preserve">you </w:t>
      </w:r>
      <w:r w:rsidRPr="001A7EB0">
        <w:rPr>
          <w:sz w:val="23"/>
          <w:szCs w:val="23"/>
        </w:rPr>
        <w:t xml:space="preserve">to draw </w:t>
      </w:r>
      <w:r w:rsidR="00C44197" w:rsidRPr="001A7EB0">
        <w:rPr>
          <w:sz w:val="23"/>
          <w:szCs w:val="23"/>
        </w:rPr>
        <w:t xml:space="preserve">your </w:t>
      </w:r>
      <w:r w:rsidRPr="001A7EB0">
        <w:rPr>
          <w:sz w:val="23"/>
          <w:szCs w:val="23"/>
        </w:rPr>
        <w:t xml:space="preserve">own opinions and conclusions about the merits of this Model Ordinance. </w:t>
      </w:r>
      <w:r w:rsidR="00C44197" w:rsidRPr="001A7EB0">
        <w:rPr>
          <w:sz w:val="23"/>
          <w:szCs w:val="23"/>
        </w:rPr>
        <w:t xml:space="preserve">You </w:t>
      </w:r>
      <w:r w:rsidRPr="001A7EB0">
        <w:rPr>
          <w:sz w:val="23"/>
          <w:szCs w:val="23"/>
        </w:rPr>
        <w:t xml:space="preserve">should consider all the evidence and decide for </w:t>
      </w:r>
      <w:r w:rsidR="00C44197" w:rsidRPr="001A7EB0">
        <w:rPr>
          <w:sz w:val="23"/>
          <w:szCs w:val="23"/>
        </w:rPr>
        <w:t xml:space="preserve">yourself </w:t>
      </w:r>
      <w:r w:rsidR="005766AE" w:rsidRPr="001A7EB0">
        <w:rPr>
          <w:sz w:val="23"/>
          <w:szCs w:val="23"/>
        </w:rPr>
        <w:t xml:space="preserve">which </w:t>
      </w:r>
      <w:r w:rsidRPr="001A7EB0">
        <w:rPr>
          <w:sz w:val="23"/>
          <w:szCs w:val="23"/>
        </w:rPr>
        <w:t xml:space="preserve">approach is appropriate for </w:t>
      </w:r>
      <w:r w:rsidR="00C44197" w:rsidRPr="001A7EB0">
        <w:rPr>
          <w:sz w:val="23"/>
          <w:szCs w:val="23"/>
        </w:rPr>
        <w:t xml:space="preserve">your </w:t>
      </w:r>
      <w:r w:rsidRPr="001A7EB0">
        <w:rPr>
          <w:sz w:val="23"/>
          <w:szCs w:val="23"/>
        </w:rPr>
        <w:t xml:space="preserve">local jurisdiction. </w:t>
      </w:r>
      <w:r w:rsidR="00615A6D" w:rsidRPr="001A7EB0">
        <w:rPr>
          <w:sz w:val="23"/>
          <w:szCs w:val="23"/>
        </w:rPr>
        <w:t xml:space="preserve">If your community would like to adopt a more customized approach, it can combine aspects of ChangeLab Solutions’ other ordinances with this ordinance. For example, we can provide language to prohibit smoking in some or all units in </w:t>
      </w:r>
      <w:r w:rsidR="002B5041" w:rsidRPr="001A7EB0">
        <w:rPr>
          <w:sz w:val="23"/>
          <w:szCs w:val="23"/>
        </w:rPr>
        <w:t>multiunit</w:t>
      </w:r>
      <w:r w:rsidR="00615A6D" w:rsidRPr="001A7EB0">
        <w:rPr>
          <w:sz w:val="23"/>
          <w:szCs w:val="23"/>
        </w:rPr>
        <w:t xml:space="preserve"> housing. If you have questions about how to adapt this ordinance for your community, please contact ChangeLab Solutions through our website at </w:t>
      </w:r>
      <w:hyperlink r:id="rId9" w:history="1">
        <w:r w:rsidR="00615A6D" w:rsidRPr="001A7EB0">
          <w:rPr>
            <w:rStyle w:val="Hyperlink"/>
            <w:i/>
            <w:color w:val="00598D"/>
            <w:sz w:val="23"/>
            <w:szCs w:val="23"/>
            <w:u w:val="none"/>
          </w:rPr>
          <w:t>www.changelabsolutions.org/tobaccoquestions</w:t>
        </w:r>
      </w:hyperlink>
      <w:r w:rsidR="00615A6D" w:rsidRPr="001A7EB0">
        <w:rPr>
          <w:i/>
          <w:color w:val="00598D"/>
          <w:sz w:val="23"/>
          <w:szCs w:val="23"/>
        </w:rPr>
        <w:t>.</w:t>
      </w:r>
      <w:r w:rsidR="00615A6D" w:rsidRPr="00976E5E">
        <w:rPr>
          <w:i/>
          <w:color w:val="00598D"/>
        </w:rPr>
        <w:t xml:space="preserve"> </w:t>
      </w:r>
    </w:p>
    <w:p w14:paraId="56331C8B" w14:textId="77777777" w:rsidR="006C2E88" w:rsidRDefault="006C2E88" w:rsidP="00B05B50">
      <w:pPr>
        <w:pStyle w:val="BasicParagraph"/>
        <w:rPr>
          <w:i/>
          <w:color w:val="00598D"/>
        </w:rPr>
      </w:pPr>
    </w:p>
    <w:p w14:paraId="01DAED85" w14:textId="77777777" w:rsidR="006E390F" w:rsidRDefault="006E390F" w:rsidP="00B05B50">
      <w:pPr>
        <w:pStyle w:val="BasicParagraph"/>
        <w:rPr>
          <w:i/>
          <w:color w:val="00598D"/>
        </w:rPr>
      </w:pPr>
    </w:p>
    <w:p w14:paraId="46D6C5CE" w14:textId="77777777" w:rsidR="006E390F" w:rsidRDefault="006E390F" w:rsidP="00B05B50">
      <w:pPr>
        <w:pStyle w:val="BasicParagraph"/>
        <w:rPr>
          <w:i/>
          <w:color w:val="00598D"/>
        </w:rPr>
      </w:pPr>
    </w:p>
    <w:p w14:paraId="386F5C69" w14:textId="77777777" w:rsidR="006E390F" w:rsidRDefault="006E390F" w:rsidP="00B05B50">
      <w:pPr>
        <w:pStyle w:val="BasicParagraph"/>
        <w:rPr>
          <w:i/>
          <w:color w:val="00598D"/>
        </w:rPr>
      </w:pPr>
    </w:p>
    <w:p w14:paraId="2338FA31" w14:textId="77777777" w:rsidR="006E390F" w:rsidRDefault="006E390F" w:rsidP="00B05B50">
      <w:pPr>
        <w:pStyle w:val="BasicParagraph"/>
        <w:rPr>
          <w:i/>
          <w:color w:val="00598D"/>
        </w:rPr>
      </w:pPr>
    </w:p>
    <w:p w14:paraId="5BE2FFAB" w14:textId="77777777" w:rsidR="006E390F" w:rsidRDefault="006E390F" w:rsidP="00B05B50">
      <w:pPr>
        <w:pStyle w:val="BasicParagraph"/>
        <w:rPr>
          <w:i/>
          <w:color w:val="00598D"/>
        </w:rPr>
      </w:pPr>
    </w:p>
    <w:p w14:paraId="77CEC53B" w14:textId="77777777" w:rsidR="006C2E88" w:rsidRPr="00FB4C4E" w:rsidRDefault="006C2E88" w:rsidP="006C2E88">
      <w:pPr>
        <w:keepNext/>
        <w:suppressAutoHyphens/>
        <w:spacing w:line="276" w:lineRule="auto"/>
        <w:outlineLvl w:val="1"/>
        <w:rPr>
          <w:rFonts w:ascii="Arial" w:hAnsi="Arial" w:cs="Arial"/>
          <w:b/>
          <w:kern w:val="32"/>
          <w:sz w:val="32"/>
          <w:szCs w:val="28"/>
        </w:rPr>
      </w:pPr>
      <w:bookmarkStart w:id="1" w:name="_Toc422147630"/>
      <w:bookmarkStart w:id="2" w:name="_Toc422147733"/>
      <w:r w:rsidRPr="00FB4C4E">
        <w:rPr>
          <w:rFonts w:ascii="Arial" w:hAnsi="Arial" w:cs="Arial"/>
          <w:b/>
          <w:kern w:val="32"/>
          <w:sz w:val="32"/>
          <w:szCs w:val="28"/>
        </w:rPr>
        <w:lastRenderedPageBreak/>
        <w:t>CONTENTS</w:t>
      </w:r>
      <w:bookmarkEnd w:id="1"/>
      <w:bookmarkEnd w:id="2"/>
    </w:p>
    <w:p w14:paraId="52716EC7" w14:textId="77777777" w:rsidR="006C2E88" w:rsidRPr="00FB4C4E" w:rsidRDefault="00683870" w:rsidP="006C2E88">
      <w:pPr>
        <w:tabs>
          <w:tab w:val="right" w:leader="dot" w:pos="8990"/>
        </w:tabs>
        <w:spacing w:before="120"/>
        <w:rPr>
          <w:rFonts w:ascii="Arial" w:eastAsia="MS Mincho" w:hAnsi="Arial" w:cs="Arial"/>
          <w:noProof/>
          <w:sz w:val="20"/>
          <w:szCs w:val="20"/>
          <w:lang w:eastAsia="ja-JP"/>
        </w:rPr>
      </w:pPr>
      <w:r w:rsidRPr="00FB4C4E">
        <w:rPr>
          <w:rFonts w:ascii="Arial" w:hAnsi="Arial" w:cs="Arial"/>
          <w:sz w:val="20"/>
          <w:szCs w:val="20"/>
        </w:rPr>
        <w:fldChar w:fldCharType="begin"/>
      </w:r>
      <w:r w:rsidR="006C2E88" w:rsidRPr="00FB4C4E">
        <w:rPr>
          <w:rFonts w:ascii="Arial" w:hAnsi="Arial" w:cs="Arial"/>
          <w:sz w:val="20"/>
          <w:szCs w:val="20"/>
        </w:rPr>
        <w:instrText xml:space="preserve"> TOC \o "1-3" </w:instrText>
      </w:r>
      <w:r w:rsidRPr="00FB4C4E">
        <w:rPr>
          <w:rFonts w:ascii="Arial" w:hAnsi="Arial" w:cs="Arial"/>
          <w:sz w:val="20"/>
          <w:szCs w:val="20"/>
        </w:rPr>
        <w:fldChar w:fldCharType="separate"/>
      </w:r>
    </w:p>
    <w:p w14:paraId="64B3BC5B" w14:textId="196AA2CE" w:rsidR="006C2E88" w:rsidRPr="00FB4C4E" w:rsidRDefault="006C2E88" w:rsidP="006C2E88">
      <w:pPr>
        <w:rPr>
          <w:rFonts w:ascii="Arial" w:eastAsia="MS Mincho" w:hAnsi="Arial" w:cs="Arial"/>
          <w:b/>
        </w:rPr>
      </w:pPr>
      <w:r w:rsidRPr="00FB4C4E">
        <w:rPr>
          <w:rFonts w:ascii="Arial" w:eastAsia="MS Mincho" w:hAnsi="Arial" w:cs="Arial"/>
          <w:b/>
        </w:rPr>
        <w:t>ORDINANCE …………</w:t>
      </w:r>
      <w:r w:rsidR="003A3736" w:rsidRPr="00FB4C4E">
        <w:rPr>
          <w:rFonts w:ascii="Arial" w:eastAsia="MS Mincho" w:hAnsi="Arial" w:cs="Arial"/>
          <w:b/>
        </w:rPr>
        <w:t>……….………...………………………………………………..…</w:t>
      </w:r>
      <w:r w:rsidR="005C457A" w:rsidRPr="00FB4C4E">
        <w:rPr>
          <w:rFonts w:ascii="Arial" w:eastAsia="MS Mincho" w:hAnsi="Arial" w:cs="Arial"/>
          <w:b/>
        </w:rPr>
        <w:t>5</w:t>
      </w:r>
    </w:p>
    <w:p w14:paraId="5E4DD6C2" w14:textId="77777777" w:rsidR="006C2E88" w:rsidRPr="00FB4C4E" w:rsidRDefault="006C2E88" w:rsidP="006C2E88">
      <w:pPr>
        <w:tabs>
          <w:tab w:val="right" w:leader="dot" w:pos="8990"/>
        </w:tabs>
        <w:rPr>
          <w:rFonts w:ascii="Arial" w:hAnsi="Arial" w:cs="Arial"/>
          <w:noProof/>
          <w:lang w:bidi="en-US"/>
        </w:rPr>
      </w:pPr>
    </w:p>
    <w:p w14:paraId="6B34B94D" w14:textId="012DA53C"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lang w:bidi="en-US"/>
        </w:rPr>
        <w:t xml:space="preserve">SECTION I. </w:t>
      </w:r>
      <w:r w:rsidRPr="00FB4C4E">
        <w:rPr>
          <w:rFonts w:ascii="Arial" w:hAnsi="Arial" w:cs="Arial"/>
          <w:noProof/>
        </w:rPr>
        <w:tab/>
      </w:r>
      <w:r w:rsidR="005C457A" w:rsidRPr="00FB4C4E">
        <w:rPr>
          <w:rFonts w:ascii="Arial" w:hAnsi="Arial" w:cs="Arial"/>
          <w:noProof/>
        </w:rPr>
        <w:t>5</w:t>
      </w:r>
    </w:p>
    <w:p w14:paraId="60B59D3B" w14:textId="77777777" w:rsidR="005457D6" w:rsidRPr="00FB4C4E" w:rsidRDefault="005457D6" w:rsidP="005457D6">
      <w:pPr>
        <w:tabs>
          <w:tab w:val="right" w:leader="dot" w:pos="8990"/>
        </w:tabs>
        <w:ind w:left="240"/>
        <w:rPr>
          <w:rFonts w:ascii="Arial" w:hAnsi="Arial" w:cs="Arial"/>
          <w:noProof/>
          <w:lang w:bidi="en-US"/>
        </w:rPr>
      </w:pPr>
    </w:p>
    <w:p w14:paraId="325DCDC1" w14:textId="4CB0CBBA" w:rsidR="005457D6" w:rsidRPr="00FB4C4E" w:rsidRDefault="003A3736" w:rsidP="005457D6">
      <w:pPr>
        <w:tabs>
          <w:tab w:val="right" w:leader="dot" w:pos="8990"/>
        </w:tabs>
        <w:ind w:left="240"/>
        <w:rPr>
          <w:rFonts w:ascii="Arial" w:hAnsi="Arial" w:cs="Arial"/>
          <w:noProof/>
          <w:lang w:bidi="en-US"/>
        </w:rPr>
      </w:pPr>
      <w:r w:rsidRPr="00FB4C4E">
        <w:rPr>
          <w:rFonts w:ascii="Arial" w:hAnsi="Arial" w:cs="Arial"/>
          <w:noProof/>
          <w:lang w:bidi="en-US"/>
        </w:rPr>
        <w:t xml:space="preserve">SECTION II. </w:t>
      </w:r>
      <w:r w:rsidRPr="00FB4C4E">
        <w:rPr>
          <w:rFonts w:ascii="Arial" w:hAnsi="Arial" w:cs="Arial"/>
          <w:noProof/>
          <w:lang w:bidi="en-US"/>
        </w:rPr>
        <w:tab/>
      </w:r>
      <w:r w:rsidR="00CE439D" w:rsidRPr="00FB4C4E">
        <w:rPr>
          <w:rFonts w:ascii="Arial" w:hAnsi="Arial" w:cs="Arial"/>
          <w:noProof/>
          <w:lang w:bidi="en-US"/>
        </w:rPr>
        <w:t>5</w:t>
      </w:r>
    </w:p>
    <w:p w14:paraId="53AB3F7A" w14:textId="77777777" w:rsidR="006C2E88" w:rsidRPr="00FB4C4E" w:rsidRDefault="006C2E88" w:rsidP="006C2E88">
      <w:pPr>
        <w:tabs>
          <w:tab w:val="right" w:leader="dot" w:pos="8990"/>
        </w:tabs>
        <w:ind w:left="240"/>
        <w:rPr>
          <w:rFonts w:ascii="Arial" w:hAnsi="Arial" w:cs="Arial"/>
          <w:noProof/>
          <w:lang w:bidi="en-US"/>
        </w:rPr>
      </w:pPr>
    </w:p>
    <w:p w14:paraId="6BAF0768" w14:textId="39703EC3"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lang w:bidi="en-US"/>
        </w:rPr>
        <w:t>Sec. [ ____ (*1) ]. DEFINITIONS.</w:t>
      </w:r>
      <w:r w:rsidR="003A3736" w:rsidRPr="00FB4C4E">
        <w:rPr>
          <w:rFonts w:ascii="Arial" w:hAnsi="Arial" w:cs="Arial"/>
          <w:noProof/>
        </w:rPr>
        <w:tab/>
      </w:r>
      <w:r w:rsidR="00CE439D" w:rsidRPr="00FB4C4E">
        <w:rPr>
          <w:rFonts w:ascii="Arial" w:hAnsi="Arial" w:cs="Arial"/>
          <w:noProof/>
        </w:rPr>
        <w:t>5</w:t>
      </w:r>
    </w:p>
    <w:p w14:paraId="34BC03B0" w14:textId="77777777" w:rsidR="006C2E88" w:rsidRPr="00FB4C4E" w:rsidRDefault="006C2E88" w:rsidP="006C2E88">
      <w:pPr>
        <w:tabs>
          <w:tab w:val="right" w:leader="dot" w:pos="8990"/>
        </w:tabs>
        <w:ind w:left="240"/>
        <w:rPr>
          <w:rFonts w:ascii="Arial" w:hAnsi="Arial" w:cs="Arial"/>
          <w:noProof/>
        </w:rPr>
      </w:pPr>
    </w:p>
    <w:p w14:paraId="2BE647C9" w14:textId="5ADF9043"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 xml:space="preserve">Sec. [ ____ (*2) ]. PROHIBITION OF SMOKING [ AND TOBACCO PRODUCT </w:t>
      </w:r>
      <w:r w:rsidR="00F531C6">
        <w:rPr>
          <w:rFonts w:ascii="Arial" w:hAnsi="Arial" w:cs="Arial"/>
          <w:noProof/>
        </w:rPr>
        <w:br/>
      </w:r>
      <w:r w:rsidRPr="00FB4C4E">
        <w:rPr>
          <w:rFonts w:ascii="Arial" w:hAnsi="Arial" w:cs="Arial"/>
          <w:noProof/>
        </w:rPr>
        <w:t xml:space="preserve">USE ] IN ENCLOSED </w:t>
      </w:r>
      <w:r w:rsidR="005D3C12" w:rsidRPr="00FB4C4E">
        <w:rPr>
          <w:rFonts w:ascii="Arial" w:hAnsi="Arial" w:cs="Arial"/>
          <w:noProof/>
        </w:rPr>
        <w:t>AREAS</w:t>
      </w:r>
      <w:r w:rsidRPr="00FB4C4E">
        <w:rPr>
          <w:rFonts w:ascii="Arial" w:hAnsi="Arial" w:cs="Arial"/>
          <w:noProof/>
        </w:rPr>
        <w:t>.</w:t>
      </w:r>
      <w:r w:rsidRPr="00FB4C4E">
        <w:rPr>
          <w:rFonts w:ascii="Arial" w:hAnsi="Arial" w:cs="Arial"/>
          <w:noProof/>
        </w:rPr>
        <w:tab/>
        <w:t>1</w:t>
      </w:r>
      <w:r w:rsidR="00CE439D" w:rsidRPr="00FB4C4E">
        <w:rPr>
          <w:rFonts w:ascii="Arial" w:hAnsi="Arial" w:cs="Arial"/>
          <w:noProof/>
        </w:rPr>
        <w:t>2</w:t>
      </w:r>
    </w:p>
    <w:p w14:paraId="3C5CC37C" w14:textId="77777777" w:rsidR="006C2E88" w:rsidRPr="00FB4C4E" w:rsidRDefault="006C2E88" w:rsidP="006C2E88">
      <w:pPr>
        <w:tabs>
          <w:tab w:val="right" w:leader="dot" w:pos="8990"/>
        </w:tabs>
        <w:ind w:left="240"/>
        <w:rPr>
          <w:rFonts w:ascii="Arial" w:hAnsi="Arial" w:cs="Arial"/>
          <w:noProof/>
        </w:rPr>
      </w:pPr>
    </w:p>
    <w:p w14:paraId="4DC4413D" w14:textId="4DAE311B"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 xml:space="preserve">Sec. [ ____ (*3) ]. PROHIBITION OF SMOKING [ AND TOBACCO PRODUCT </w:t>
      </w:r>
      <w:r w:rsidR="00F531C6">
        <w:rPr>
          <w:rFonts w:ascii="Arial" w:hAnsi="Arial" w:cs="Arial"/>
          <w:noProof/>
        </w:rPr>
        <w:br/>
      </w:r>
      <w:r w:rsidRPr="00FB4C4E">
        <w:rPr>
          <w:rFonts w:ascii="Arial" w:hAnsi="Arial" w:cs="Arial"/>
          <w:noProof/>
        </w:rPr>
        <w:t>USE ] IN UNENCLOSED AREAS.</w:t>
      </w:r>
      <w:r w:rsidRPr="00FB4C4E">
        <w:rPr>
          <w:rFonts w:ascii="Arial" w:hAnsi="Arial" w:cs="Arial"/>
          <w:noProof/>
        </w:rPr>
        <w:tab/>
        <w:t>1</w:t>
      </w:r>
      <w:r w:rsidR="00CE439D" w:rsidRPr="00FB4C4E">
        <w:rPr>
          <w:rFonts w:ascii="Arial" w:hAnsi="Arial" w:cs="Arial"/>
          <w:noProof/>
        </w:rPr>
        <w:t>4</w:t>
      </w:r>
    </w:p>
    <w:p w14:paraId="7D07AF27" w14:textId="77777777" w:rsidR="006C2E88" w:rsidRPr="00FB4C4E" w:rsidRDefault="006C2E88" w:rsidP="006C2E88">
      <w:pPr>
        <w:tabs>
          <w:tab w:val="right" w:leader="dot" w:pos="8990"/>
        </w:tabs>
        <w:ind w:left="240"/>
        <w:rPr>
          <w:rFonts w:ascii="Arial" w:hAnsi="Arial" w:cs="Arial"/>
          <w:noProof/>
        </w:rPr>
      </w:pPr>
    </w:p>
    <w:p w14:paraId="2AD75DE3" w14:textId="1F3ADDB0"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Sec. [ ____ (*4) ]. REASONABLE SMOKING DISTANCE REQUIRED</w:t>
      </w:r>
      <w:r w:rsidRPr="00FB4C4E">
        <w:rPr>
          <w:rFonts w:ascii="Arial" w:hAnsi="Arial" w:cs="Arial"/>
          <w:noProof/>
        </w:rPr>
        <w:tab/>
        <w:t>1</w:t>
      </w:r>
      <w:r w:rsidR="00CE439D" w:rsidRPr="00FB4C4E">
        <w:rPr>
          <w:rFonts w:ascii="Arial" w:hAnsi="Arial" w:cs="Arial"/>
          <w:noProof/>
        </w:rPr>
        <w:t>6</w:t>
      </w:r>
    </w:p>
    <w:p w14:paraId="2339848A" w14:textId="77777777" w:rsidR="006C2E88" w:rsidRPr="00FB4C4E" w:rsidRDefault="006C2E88" w:rsidP="006C2E88">
      <w:pPr>
        <w:tabs>
          <w:tab w:val="right" w:leader="dot" w:pos="8990"/>
        </w:tabs>
        <w:ind w:left="240"/>
        <w:rPr>
          <w:rFonts w:ascii="Arial" w:hAnsi="Arial" w:cs="Arial"/>
          <w:noProof/>
        </w:rPr>
      </w:pPr>
    </w:p>
    <w:p w14:paraId="709E6903" w14:textId="277D66C3"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Sec. [ ____ (*5) ]. OTHER REQUIREMENTS AND PROHIBITIONS.</w:t>
      </w:r>
      <w:r w:rsidRPr="00FB4C4E">
        <w:rPr>
          <w:rFonts w:ascii="Arial" w:hAnsi="Arial" w:cs="Arial"/>
          <w:noProof/>
        </w:rPr>
        <w:tab/>
        <w:t>1</w:t>
      </w:r>
      <w:r w:rsidR="00CE439D" w:rsidRPr="00FB4C4E">
        <w:rPr>
          <w:rFonts w:ascii="Arial" w:hAnsi="Arial" w:cs="Arial"/>
          <w:noProof/>
        </w:rPr>
        <w:t>7</w:t>
      </w:r>
    </w:p>
    <w:p w14:paraId="082F91DA" w14:textId="77777777" w:rsidR="006C2E88" w:rsidRPr="00FB4C4E" w:rsidRDefault="006C2E88" w:rsidP="006C2E88">
      <w:pPr>
        <w:tabs>
          <w:tab w:val="right" w:leader="dot" w:pos="8990"/>
        </w:tabs>
        <w:ind w:left="240"/>
        <w:rPr>
          <w:rFonts w:ascii="Arial" w:hAnsi="Arial" w:cs="Arial"/>
          <w:noProof/>
        </w:rPr>
      </w:pPr>
    </w:p>
    <w:p w14:paraId="23FB121E" w14:textId="63CDF3B2"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Sec. [ ____ (*6) ]. PENALTIES AND ENFORCEMENT</w:t>
      </w:r>
      <w:r w:rsidR="005D3C12" w:rsidRPr="00FB4C4E">
        <w:rPr>
          <w:rFonts w:ascii="Arial" w:hAnsi="Arial" w:cs="Arial"/>
          <w:noProof/>
        </w:rPr>
        <w:t>..</w:t>
      </w:r>
      <w:r w:rsidR="005D3C12" w:rsidRPr="00FB4C4E">
        <w:rPr>
          <w:rFonts w:ascii="Arial" w:hAnsi="Arial" w:cs="Arial"/>
          <w:noProof/>
        </w:rPr>
        <w:tab/>
      </w:r>
      <w:r w:rsidR="00CE439D" w:rsidRPr="00FB4C4E">
        <w:rPr>
          <w:rFonts w:ascii="Arial" w:hAnsi="Arial" w:cs="Arial"/>
          <w:noProof/>
        </w:rPr>
        <w:t>18</w:t>
      </w:r>
    </w:p>
    <w:p w14:paraId="71F2CC08" w14:textId="77777777" w:rsidR="006C2E88" w:rsidRPr="00FB4C4E" w:rsidRDefault="006C2E88" w:rsidP="006C2E88">
      <w:pPr>
        <w:tabs>
          <w:tab w:val="right" w:leader="dot" w:pos="8990"/>
        </w:tabs>
        <w:ind w:left="240"/>
        <w:rPr>
          <w:rFonts w:ascii="Arial" w:hAnsi="Arial" w:cs="Arial"/>
          <w:noProof/>
        </w:rPr>
      </w:pPr>
    </w:p>
    <w:p w14:paraId="0A8A4585" w14:textId="5B9A40E3"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Sec. [ ____ (*7) ]. OTHER LAWS</w:t>
      </w:r>
      <w:r w:rsidR="005D3C12" w:rsidRPr="00FB4C4E">
        <w:rPr>
          <w:rFonts w:ascii="Arial" w:hAnsi="Arial" w:cs="Arial"/>
          <w:noProof/>
        </w:rPr>
        <w:t>.</w:t>
      </w:r>
      <w:r w:rsidR="005D3C12" w:rsidRPr="00FB4C4E">
        <w:rPr>
          <w:rFonts w:ascii="Arial" w:hAnsi="Arial" w:cs="Arial"/>
          <w:noProof/>
        </w:rPr>
        <w:tab/>
      </w:r>
      <w:r w:rsidR="00FB4C4E" w:rsidRPr="00FB4C4E">
        <w:rPr>
          <w:rFonts w:ascii="Arial" w:hAnsi="Arial" w:cs="Arial"/>
          <w:noProof/>
        </w:rPr>
        <w:t>22</w:t>
      </w:r>
    </w:p>
    <w:p w14:paraId="7599C778" w14:textId="77777777" w:rsidR="006C2E88" w:rsidRPr="00FB4C4E" w:rsidRDefault="006C2E88" w:rsidP="006C2E88">
      <w:pPr>
        <w:tabs>
          <w:tab w:val="right" w:leader="dot" w:pos="8990"/>
        </w:tabs>
        <w:ind w:left="240"/>
        <w:rPr>
          <w:rFonts w:ascii="Arial" w:hAnsi="Arial" w:cs="Arial"/>
          <w:noProof/>
        </w:rPr>
      </w:pPr>
    </w:p>
    <w:p w14:paraId="278643BA" w14:textId="3E95D36C" w:rsidR="006C2E88" w:rsidRPr="00FB4C4E" w:rsidRDefault="006C2E88" w:rsidP="006C2E88">
      <w:pPr>
        <w:tabs>
          <w:tab w:val="right" w:leader="dot" w:pos="8990"/>
        </w:tabs>
        <w:ind w:left="240"/>
        <w:rPr>
          <w:rFonts w:ascii="Arial" w:hAnsi="Arial" w:cs="Arial"/>
          <w:noProof/>
        </w:rPr>
      </w:pPr>
      <w:r w:rsidRPr="00FB4C4E">
        <w:rPr>
          <w:rFonts w:ascii="Arial" w:hAnsi="Arial" w:cs="Arial"/>
          <w:noProof/>
        </w:rPr>
        <w:t>SECTION I</w:t>
      </w:r>
      <w:r w:rsidR="005457D6" w:rsidRPr="00FB4C4E">
        <w:rPr>
          <w:rFonts w:ascii="Arial" w:hAnsi="Arial" w:cs="Arial"/>
          <w:noProof/>
        </w:rPr>
        <w:t>I</w:t>
      </w:r>
      <w:r w:rsidRPr="00FB4C4E">
        <w:rPr>
          <w:rFonts w:ascii="Arial" w:hAnsi="Arial" w:cs="Arial"/>
          <w:noProof/>
        </w:rPr>
        <w:t>I</w:t>
      </w:r>
      <w:r w:rsidR="005D3C12" w:rsidRPr="00FB4C4E">
        <w:rPr>
          <w:rFonts w:ascii="Arial" w:hAnsi="Arial" w:cs="Arial"/>
          <w:noProof/>
        </w:rPr>
        <w:t xml:space="preserve">. </w:t>
      </w:r>
      <w:r w:rsidR="00D5067F" w:rsidRPr="00FB4C4E">
        <w:rPr>
          <w:rFonts w:ascii="Arial" w:hAnsi="Arial" w:cs="Arial"/>
          <w:noProof/>
        </w:rPr>
        <w:t>STATUTORY CONSTRUCTION &amp; SEVERABILITY</w:t>
      </w:r>
      <w:r w:rsidR="00FB4C4E">
        <w:rPr>
          <w:rFonts w:ascii="Arial" w:hAnsi="Arial" w:cs="Arial"/>
          <w:noProof/>
        </w:rPr>
        <w:t>.</w:t>
      </w:r>
      <w:r w:rsidR="00FB4C4E">
        <w:rPr>
          <w:rFonts w:ascii="Arial" w:hAnsi="Arial" w:cs="Arial"/>
          <w:noProof/>
        </w:rPr>
        <w:tab/>
        <w:t>23</w:t>
      </w:r>
    </w:p>
    <w:p w14:paraId="64E0F73B" w14:textId="77777777" w:rsidR="006C2E88" w:rsidRPr="00FB4C4E" w:rsidRDefault="006C2E88" w:rsidP="006C2E88">
      <w:pPr>
        <w:rPr>
          <w:rFonts w:ascii="Arial" w:eastAsia="MS Mincho" w:hAnsi="Arial" w:cs="Arial"/>
        </w:rPr>
      </w:pPr>
    </w:p>
    <w:p w14:paraId="25798946" w14:textId="25BBBA6D" w:rsidR="006C2E88" w:rsidRPr="00FB4C4E" w:rsidRDefault="006C2E88" w:rsidP="006C2E88">
      <w:pPr>
        <w:rPr>
          <w:rFonts w:ascii="Arial" w:eastAsia="MS Mincho" w:hAnsi="Arial" w:cs="Arial"/>
        </w:rPr>
      </w:pPr>
      <w:r w:rsidRPr="00FB4C4E">
        <w:rPr>
          <w:rFonts w:ascii="Arial" w:eastAsia="MS Mincho" w:hAnsi="Arial" w:cs="Arial"/>
        </w:rPr>
        <w:t>APPENDIX A: FINDINGS……………...</w:t>
      </w:r>
      <w:r w:rsidR="005D3C12" w:rsidRPr="00FB4C4E">
        <w:rPr>
          <w:rFonts w:ascii="Arial" w:eastAsia="MS Mincho" w:hAnsi="Arial" w:cs="Arial"/>
        </w:rPr>
        <w:t>…………………………………………………</w:t>
      </w:r>
      <w:r w:rsidR="00FB4C4E">
        <w:rPr>
          <w:rFonts w:ascii="Arial" w:eastAsia="MS Mincho" w:hAnsi="Arial" w:cs="Arial"/>
        </w:rPr>
        <w:t xml:space="preserve"> 24</w:t>
      </w:r>
    </w:p>
    <w:p w14:paraId="4293F90D" w14:textId="77777777" w:rsidR="006C2E88" w:rsidRPr="00976E5E" w:rsidRDefault="00683870" w:rsidP="006C2E88">
      <w:pPr>
        <w:pStyle w:val="BasicParagraph"/>
        <w:rPr>
          <w:i/>
          <w:color w:val="00598D"/>
        </w:rPr>
      </w:pPr>
      <w:r w:rsidRPr="00FB4C4E">
        <w:rPr>
          <w:rFonts w:ascii="Arial" w:hAnsi="Arial" w:cs="Arial"/>
          <w:color w:val="auto"/>
          <w:sz w:val="20"/>
          <w:lang w:bidi="ar-SA"/>
        </w:rPr>
        <w:fldChar w:fldCharType="end"/>
      </w:r>
    </w:p>
    <w:p w14:paraId="41C65186" w14:textId="77777777" w:rsidR="00615A6D" w:rsidRPr="009656F5" w:rsidRDefault="00615A6D" w:rsidP="00615A6D">
      <w:pPr>
        <w:pStyle w:val="NormalText"/>
        <w:widowControl/>
        <w:ind w:firstLine="0"/>
        <w:outlineLvl w:val="0"/>
        <w:rPr>
          <w:color w:val="000000"/>
          <w:szCs w:val="24"/>
        </w:rPr>
      </w:pPr>
    </w:p>
    <w:p w14:paraId="7032476F" w14:textId="77777777" w:rsidR="00615A6D" w:rsidRPr="001A7EB0" w:rsidRDefault="00615A6D" w:rsidP="00615A6D">
      <w:pPr>
        <w:pStyle w:val="BasicParagraph"/>
        <w:widowControl/>
        <w:rPr>
          <w:rFonts w:ascii="Arial" w:hAnsi="Arial" w:cs="Arial"/>
        </w:rPr>
      </w:pPr>
      <w:r w:rsidRPr="009525EE">
        <w:br w:type="page"/>
      </w:r>
      <w:r w:rsidRPr="001A7EB0">
        <w:rPr>
          <w:rFonts w:ascii="Arial" w:hAnsi="Arial" w:cs="Arial"/>
          <w:sz w:val="32"/>
        </w:rPr>
        <w:lastRenderedPageBreak/>
        <w:t>AN ORDINANCE OF THE [ </w:t>
      </w:r>
      <w:r w:rsidRPr="001A7EB0">
        <w:rPr>
          <w:rFonts w:ascii="Arial" w:hAnsi="Arial" w:cs="Arial"/>
          <w:sz w:val="32"/>
          <w:u w:val="single"/>
        </w:rPr>
        <w:t>CITY</w:t>
      </w:r>
      <w:r w:rsidRPr="001A7EB0">
        <w:rPr>
          <w:rFonts w:ascii="Arial" w:hAnsi="Arial" w:cs="Arial"/>
          <w:sz w:val="32"/>
        </w:rPr>
        <w:t xml:space="preserve"> / </w:t>
      </w:r>
      <w:r w:rsidRPr="001A7EB0">
        <w:rPr>
          <w:rFonts w:ascii="Arial" w:hAnsi="Arial" w:cs="Arial"/>
          <w:sz w:val="32"/>
          <w:u w:val="double"/>
        </w:rPr>
        <w:t>COUNTY</w:t>
      </w:r>
      <w:r w:rsidRPr="001A7EB0">
        <w:rPr>
          <w:rFonts w:ascii="Arial" w:hAnsi="Arial" w:cs="Arial"/>
          <w:sz w:val="32"/>
        </w:rPr>
        <w:t xml:space="preserve"> ] OF [ ____ ] </w:t>
      </w:r>
      <w:r w:rsidRPr="001A7EB0">
        <w:rPr>
          <w:rFonts w:ascii="Arial" w:hAnsi="Arial" w:cs="Arial"/>
          <w:sz w:val="32"/>
        </w:rPr>
        <w:br/>
        <w:t>AMENDING THE [ ____ ] MUNICIPAL CODE TO REGULATE</w:t>
      </w:r>
      <w:r w:rsidRPr="001A7EB0">
        <w:rPr>
          <w:rFonts w:ascii="Arial" w:hAnsi="Arial" w:cs="Arial"/>
          <w:sz w:val="32"/>
        </w:rPr>
        <w:br/>
        <w:t xml:space="preserve">SMOKING [ </w:t>
      </w:r>
      <w:r w:rsidRPr="001A7EB0">
        <w:rPr>
          <w:rFonts w:ascii="Arial" w:hAnsi="Arial" w:cs="Arial"/>
          <w:caps/>
          <w:sz w:val="32"/>
          <w:u w:val="single"/>
        </w:rPr>
        <w:t>AND TOBACCO PRODUCT USE</w:t>
      </w:r>
      <w:r w:rsidRPr="001A7EB0">
        <w:rPr>
          <w:rFonts w:ascii="Arial" w:hAnsi="Arial" w:cs="Arial"/>
          <w:caps/>
          <w:sz w:val="32"/>
        </w:rPr>
        <w:t xml:space="preserve"> ]</w:t>
      </w:r>
      <w:r w:rsidRPr="001A7EB0">
        <w:rPr>
          <w:rFonts w:ascii="Arial" w:hAnsi="Arial" w:cs="Arial"/>
          <w:sz w:val="32"/>
        </w:rPr>
        <w:t xml:space="preserve"> </w:t>
      </w:r>
    </w:p>
    <w:p w14:paraId="53EB71A6" w14:textId="77777777" w:rsidR="00615A6D" w:rsidRPr="009525EE" w:rsidRDefault="00615A6D" w:rsidP="00615A6D">
      <w:pPr>
        <w:pStyle w:val="NormalText"/>
        <w:widowControl/>
        <w:rPr>
          <w:color w:val="000000"/>
        </w:rPr>
      </w:pPr>
    </w:p>
    <w:p w14:paraId="0A73BEC1" w14:textId="77777777" w:rsidR="00615A6D" w:rsidRPr="009525EE" w:rsidRDefault="00615A6D" w:rsidP="00B05B50">
      <w:pPr>
        <w:pStyle w:val="BasicParagraph"/>
      </w:pPr>
      <w:r w:rsidRPr="009525EE">
        <w:t>The [ </w:t>
      </w:r>
      <w:r w:rsidRPr="009525EE">
        <w:rPr>
          <w:u w:val="single"/>
        </w:rPr>
        <w:t>City Council of the City</w:t>
      </w:r>
      <w:r w:rsidRPr="009525EE">
        <w:t xml:space="preserve"> / </w:t>
      </w:r>
      <w:r w:rsidRPr="009525EE">
        <w:rPr>
          <w:u w:val="double"/>
        </w:rPr>
        <w:t>Board of Supervisors of the County</w:t>
      </w:r>
      <w:r w:rsidRPr="009525EE">
        <w:t> ] of [ </w:t>
      </w:r>
      <w:r w:rsidRPr="009525EE">
        <w:rPr>
          <w:b/>
        </w:rPr>
        <w:t>____ </w:t>
      </w:r>
      <w:r w:rsidRPr="009525EE">
        <w:rPr>
          <w:bCs/>
        </w:rPr>
        <w:t>]</w:t>
      </w:r>
      <w:r w:rsidRPr="009525EE">
        <w:t xml:space="preserve"> does </w:t>
      </w:r>
      <w:r w:rsidR="00515D89" w:rsidRPr="009525EE">
        <w:t xml:space="preserve">ordain </w:t>
      </w:r>
      <w:r w:rsidR="00515D89">
        <w:t>as</w:t>
      </w:r>
      <w:r w:rsidRPr="009525EE">
        <w:t xml:space="preserve"> follows:</w:t>
      </w:r>
    </w:p>
    <w:p w14:paraId="1569B69A" w14:textId="77777777" w:rsidR="00615A6D" w:rsidRPr="009525EE" w:rsidRDefault="00615A6D" w:rsidP="00615A6D">
      <w:pPr>
        <w:pStyle w:val="NormalText"/>
        <w:widowControl/>
        <w:rPr>
          <w:color w:val="000000"/>
        </w:rPr>
      </w:pPr>
    </w:p>
    <w:p w14:paraId="138EE62C" w14:textId="77777777" w:rsidR="00615A6D" w:rsidRPr="009525EE" w:rsidRDefault="00615A6D" w:rsidP="00824922">
      <w:pPr>
        <w:pStyle w:val="commentsbox"/>
        <w:ind w:left="0"/>
      </w:pPr>
      <w:r w:rsidRPr="009525EE">
        <w:rPr>
          <w:b/>
          <w:caps/>
        </w:rPr>
        <w:t>comment</w:t>
      </w:r>
      <w:r w:rsidRPr="009525EE">
        <w:rPr>
          <w:b/>
          <w:smallCaps/>
        </w:rPr>
        <w:t xml:space="preserve">: </w:t>
      </w:r>
      <w:r w:rsidRPr="009525EE">
        <w:t>This is introductory boilerplate language that should be adapted to the conventional form used in the jurisdiction.</w:t>
      </w:r>
    </w:p>
    <w:p w14:paraId="6C20F09C" w14:textId="77777777" w:rsidR="006C2E88" w:rsidRPr="00577444" w:rsidRDefault="006C2E88" w:rsidP="00B05B50">
      <w:pPr>
        <w:pStyle w:val="BasicParagraph"/>
      </w:pPr>
    </w:p>
    <w:p w14:paraId="46BB8D94" w14:textId="77777777" w:rsidR="00BE5923" w:rsidRDefault="00615A6D" w:rsidP="00B05B50">
      <w:pPr>
        <w:pStyle w:val="BasicParagraph"/>
      </w:pPr>
      <w:r w:rsidRPr="009525EE">
        <w:rPr>
          <w:b/>
        </w:rPr>
        <w:t>SECTION I.</w:t>
      </w:r>
      <w:r w:rsidRPr="009525EE">
        <w:t xml:space="preserve"> </w:t>
      </w:r>
      <w:r w:rsidR="00BE5923" w:rsidRPr="00BE5923">
        <w:t xml:space="preserve">[ See </w:t>
      </w:r>
      <w:r w:rsidR="00BE5923" w:rsidRPr="00BE5923">
        <w:rPr>
          <w:b/>
        </w:rPr>
        <w:t>Appendix A: Findings</w:t>
      </w:r>
      <w:r w:rsidR="00BE5923" w:rsidRPr="00BE5923">
        <w:t xml:space="preserve"> ]</w:t>
      </w:r>
    </w:p>
    <w:p w14:paraId="243338D0" w14:textId="77777777" w:rsidR="00BE5923" w:rsidRDefault="00BE5923" w:rsidP="00B05B50">
      <w:pPr>
        <w:pStyle w:val="BasicParagraph"/>
      </w:pPr>
    </w:p>
    <w:p w14:paraId="5C17596E" w14:textId="77777777" w:rsidR="00BE5923" w:rsidRPr="00BE5923" w:rsidRDefault="00BE5923" w:rsidP="004023B3">
      <w:pPr>
        <w:pStyle w:val="commentsbox"/>
        <w:ind w:left="0"/>
      </w:pPr>
      <w:r w:rsidRPr="009525EE">
        <w:rPr>
          <w:b/>
          <w:caps/>
        </w:rPr>
        <w:t>comment</w:t>
      </w:r>
      <w:r w:rsidRPr="009525EE">
        <w:rPr>
          <w:b/>
          <w:smallCaps/>
        </w:rPr>
        <w:t xml:space="preserve">: </w:t>
      </w:r>
      <w:r w:rsidRPr="00BE5923">
        <w:t xml:space="preserve">The findings section is part of the ordinance and legislative record, but it usually does not become codified in the municipal code. An ordinance based on this Model Ordinance should include findings of fact—data, statistics, relevant epidemiological information, for instance—that support the purposes of this ordinance, as well as any legal precedent that directly supports the ordinance. In addition to serving an educational purpose and building support for the ordinance, the findings can also serve a legal purpose. If the ordinance is challenged in court, the findings are an admissible record of the factual determinations made by the legislative body when considering the ordinance. Courts will generally defer to legislative determinations of factual issues, which often influence legal conclusions. A list of findings supporting this Model Ordinance appears in “Appendix A: Findings” on page </w:t>
      </w:r>
      <w:r>
        <w:t>26</w:t>
      </w:r>
      <w:r w:rsidRPr="00BE5923">
        <w:t>. Jurisdictions may select findings from that list to insert here, along with additional findings on local or regional conditions, outcomes, and issues that help make the case for the law.</w:t>
      </w:r>
    </w:p>
    <w:p w14:paraId="06CEB0F3" w14:textId="77777777" w:rsidR="00615A6D" w:rsidRPr="009525EE" w:rsidRDefault="00BE5923" w:rsidP="00BE5923">
      <w:pPr>
        <w:spacing w:before="240" w:after="240" w:line="276" w:lineRule="auto"/>
        <w:rPr>
          <w:color w:val="000000"/>
        </w:rPr>
      </w:pPr>
      <w:r w:rsidRPr="004306C3">
        <w:rPr>
          <w:b/>
        </w:rPr>
        <w:t>SECTION II.</w:t>
      </w:r>
      <w:r w:rsidRPr="004306C3">
        <w:t xml:space="preserve"> [ </w:t>
      </w:r>
      <w:r w:rsidRPr="004306C3">
        <w:rPr>
          <w:u w:val="single"/>
        </w:rPr>
        <w:t>Article</w:t>
      </w:r>
      <w:r w:rsidRPr="004306C3">
        <w:t xml:space="preserve"> / </w:t>
      </w:r>
      <w:r w:rsidRPr="004306C3">
        <w:rPr>
          <w:u w:val="double"/>
        </w:rPr>
        <w:t>Section</w:t>
      </w:r>
      <w:r w:rsidRPr="004306C3">
        <w:t> ] of the [ </w:t>
      </w:r>
      <w:r w:rsidRPr="00962D60">
        <w:rPr>
          <w:i/>
          <w:sz w:val="23"/>
          <w:szCs w:val="23"/>
        </w:rPr>
        <w:t>Insert Jurisdiction</w:t>
      </w:r>
      <w:r>
        <w:rPr>
          <w:i/>
          <w:sz w:val="23"/>
          <w:szCs w:val="23"/>
        </w:rPr>
        <w:t xml:space="preserve"> Name</w:t>
      </w:r>
      <w:r>
        <w:t xml:space="preserve"> </w:t>
      </w:r>
      <w:r w:rsidRPr="004306C3">
        <w:t>] Municipal Code is hereby amended to read as follows:</w:t>
      </w:r>
    </w:p>
    <w:p w14:paraId="4267018A" w14:textId="77777777" w:rsidR="00615A6D" w:rsidRPr="009525EE" w:rsidRDefault="00615A6D" w:rsidP="00B05B50">
      <w:pPr>
        <w:pStyle w:val="BasicParagraph"/>
      </w:pPr>
      <w:r w:rsidRPr="009525EE">
        <w:rPr>
          <w:b/>
        </w:rPr>
        <w:t>Sec. [ ____ (*1) ]. DEFINITIONS.</w:t>
      </w:r>
      <w:r w:rsidRPr="009525EE">
        <w:t xml:space="preserve"> The following words and phrases, whenever used in this [ </w:t>
      </w:r>
      <w:r w:rsidRPr="009525EE">
        <w:rPr>
          <w:u w:val="single"/>
        </w:rPr>
        <w:t>article</w:t>
      </w:r>
      <w:r w:rsidRPr="009525EE">
        <w:t xml:space="preserve"> / </w:t>
      </w:r>
      <w:r w:rsidRPr="009525EE">
        <w:rPr>
          <w:u w:val="double"/>
        </w:rPr>
        <w:t>chapter</w:t>
      </w:r>
      <w:r w:rsidRPr="009525EE">
        <w:t> ]</w:t>
      </w:r>
      <w:r w:rsidR="00C44197">
        <w:t>,</w:t>
      </w:r>
      <w:r w:rsidRPr="009525EE">
        <w:t xml:space="preserve"> shall have the meanings defined in this section unless the context clearly requires otherwise:</w:t>
      </w:r>
    </w:p>
    <w:p w14:paraId="04B2EBDF" w14:textId="77777777" w:rsidR="00615A6D" w:rsidRPr="009525EE" w:rsidRDefault="00615A6D" w:rsidP="00615A6D">
      <w:pPr>
        <w:pStyle w:val="LevelA"/>
        <w:widowControl/>
      </w:pPr>
    </w:p>
    <w:p w14:paraId="5F0F6A3B" w14:textId="77777777" w:rsidR="00615A6D" w:rsidRPr="009525EE" w:rsidRDefault="00615A6D" w:rsidP="00B05B50">
      <w:pPr>
        <w:pStyle w:val="bullets-abc"/>
      </w:pPr>
      <w:r w:rsidRPr="009525EE">
        <w:t>(a)</w:t>
      </w:r>
      <w:r w:rsidRPr="009525EE">
        <w:tab/>
        <w:t xml:space="preserve">“Business” means any sole proprietorship, partnership, joint venture, corporation, association, </w:t>
      </w:r>
      <w:r>
        <w:t xml:space="preserve">landlord, </w:t>
      </w:r>
      <w:r w:rsidRPr="009525EE">
        <w:t xml:space="preserve">or other entity formed for profit-making purposes. </w:t>
      </w:r>
      <w:r w:rsidR="005F7C45">
        <w:t xml:space="preserve">A </w:t>
      </w:r>
      <w:r w:rsidR="000041AD">
        <w:t>Business</w:t>
      </w:r>
      <w:r w:rsidR="005F7C45">
        <w:t xml:space="preserve"> </w:t>
      </w:r>
      <w:r w:rsidR="000041AD">
        <w:t xml:space="preserve">also includes </w:t>
      </w:r>
      <w:r w:rsidR="005F7C45">
        <w:t>owner-operated entities with no Employees in which the owner is the only worker.</w:t>
      </w:r>
      <w:r w:rsidR="000041AD">
        <w:t xml:space="preserve"> </w:t>
      </w:r>
    </w:p>
    <w:p w14:paraId="6D6B3751" w14:textId="77777777" w:rsidR="00615A6D" w:rsidRPr="009525EE" w:rsidRDefault="00615A6D" w:rsidP="00B05B50">
      <w:pPr>
        <w:pStyle w:val="bullets-abc"/>
      </w:pPr>
    </w:p>
    <w:p w14:paraId="45EED2EE" w14:textId="24712AA4" w:rsidR="00A57A60" w:rsidRDefault="00615A6D" w:rsidP="00E57BED">
      <w:pPr>
        <w:pStyle w:val="bullets-abc"/>
      </w:pPr>
      <w:r w:rsidRPr="009525EE">
        <w:t xml:space="preserve">(b) </w:t>
      </w:r>
      <w:r w:rsidRPr="009525EE">
        <w:tab/>
      </w:r>
      <w:r w:rsidR="00A57A60" w:rsidRPr="00A57A60">
        <w:t>“Cannabis” has the meaning set forth in California Business and Professions Code Section 26001, as that section ma</w:t>
      </w:r>
      <w:r w:rsidR="00A3356B">
        <w:t>y be amended from time to time.</w:t>
      </w:r>
    </w:p>
    <w:p w14:paraId="46C2A82D" w14:textId="77777777" w:rsidR="00902748" w:rsidRDefault="00902748" w:rsidP="00B05B50">
      <w:pPr>
        <w:pStyle w:val="bullets-abc"/>
      </w:pPr>
    </w:p>
    <w:p w14:paraId="761ED6EA" w14:textId="77777777" w:rsidR="00615A6D" w:rsidRPr="009525EE" w:rsidRDefault="00A3356B" w:rsidP="00B05B50">
      <w:pPr>
        <w:pStyle w:val="bullets-abc"/>
      </w:pPr>
      <w:r>
        <w:t xml:space="preserve">(c) </w:t>
      </w:r>
      <w:r w:rsidR="00615A6D" w:rsidRPr="009525EE">
        <w:t xml:space="preserve">“Common Area” means every </w:t>
      </w:r>
      <w:r w:rsidR="00615A6D">
        <w:t xml:space="preserve">Enclosed Area and Unenclosed Area </w:t>
      </w:r>
      <w:r w:rsidR="00615A6D" w:rsidRPr="009525EE">
        <w:t xml:space="preserve">of a </w:t>
      </w:r>
      <w:r w:rsidR="002B5041">
        <w:t>Multiunit</w:t>
      </w:r>
      <w:r w:rsidR="00615A6D" w:rsidRPr="009525EE">
        <w:t xml:space="preserve"> Residence that residents of more than one Unit of that </w:t>
      </w:r>
      <w:r w:rsidR="002B5041">
        <w:t>Multiunit</w:t>
      </w:r>
      <w:r w:rsidR="00615A6D" w:rsidRPr="009525EE">
        <w:t xml:space="preserve"> Residence are entitled </w:t>
      </w:r>
      <w:r w:rsidR="00615A6D" w:rsidRPr="009525EE">
        <w:lastRenderedPageBreak/>
        <w:t xml:space="preserve">to enter or use, including, </w:t>
      </w:r>
      <w:r w:rsidR="002B5041">
        <w:t>but not limited to</w:t>
      </w:r>
      <w:r w:rsidR="00615A6D" w:rsidRPr="009525EE">
        <w:t xml:space="preserve">, </w:t>
      </w:r>
      <w:r w:rsidR="002B5041" w:rsidRPr="002B5041">
        <w:t>halls, pathways, lobbies, courtyards, elevators, stairs, community rooms, playgrounds, gym facilities, swimming pools, parking garages, parking lots, grassy or landscaped areas, restrooms, laundry rooms, cooking areas, and eating areas.</w:t>
      </w:r>
    </w:p>
    <w:p w14:paraId="1827C2C6" w14:textId="77777777" w:rsidR="00615A6D" w:rsidRPr="009525EE" w:rsidRDefault="00615A6D" w:rsidP="00615A6D"/>
    <w:p w14:paraId="0522DFE4" w14:textId="2833CCD1" w:rsidR="00615A6D" w:rsidRPr="009525EE" w:rsidRDefault="00615A6D" w:rsidP="001A7EB0">
      <w:pPr>
        <w:pStyle w:val="commentsbox"/>
        <w:ind w:left="720"/>
      </w:pPr>
      <w:r w:rsidRPr="009525EE">
        <w:rPr>
          <w:b/>
          <w:caps/>
        </w:rPr>
        <w:t>comment</w:t>
      </w:r>
      <w:r w:rsidRPr="009525EE">
        <w:rPr>
          <w:b/>
          <w:smallCaps/>
        </w:rPr>
        <w:t>:</w:t>
      </w:r>
      <w:r w:rsidRPr="009525EE">
        <w:t xml:space="preserve"> California Labor Code section 6404.5 (the state smokefree workplace law) prohibit</w:t>
      </w:r>
      <w:r w:rsidR="00DF19A9">
        <w:t>s</w:t>
      </w:r>
      <w:r w:rsidRPr="009525EE">
        <w:t xml:space="preserve"> Smoking in indoor Common Areas if the </w:t>
      </w:r>
      <w:r w:rsidR="002B5041">
        <w:t>Multiunit</w:t>
      </w:r>
      <w:r w:rsidRPr="009525EE">
        <w:t xml:space="preserve"> Residence has Employees, such as maintenance workers, property managers, or others who work on</w:t>
      </w:r>
      <w:r>
        <w:t xml:space="preserve"> </w:t>
      </w:r>
      <w:r w:rsidRPr="009525EE">
        <w:t xml:space="preserve">site. </w:t>
      </w:r>
      <w:r w:rsidR="001A7EB0">
        <w:br/>
      </w:r>
      <w:r w:rsidR="001A7EB0">
        <w:br/>
      </w:r>
      <w:r w:rsidRPr="009525EE">
        <w:t xml:space="preserve">The definition of Common Area </w:t>
      </w:r>
      <w:r w:rsidR="005B24BD">
        <w:t xml:space="preserve">in the Model Ordinance </w:t>
      </w:r>
      <w:r w:rsidRPr="009525EE">
        <w:t xml:space="preserve">does not include balconies, patios, or decks </w:t>
      </w:r>
      <w:r w:rsidR="002B5041">
        <w:t>associated with</w:t>
      </w:r>
      <w:r w:rsidR="002B5041" w:rsidRPr="009525EE">
        <w:t xml:space="preserve"> </w:t>
      </w:r>
      <w:r w:rsidRPr="009525EE">
        <w:t>individual Units because these are not shared areas.</w:t>
      </w:r>
      <w:r w:rsidR="002B5041">
        <w:t xml:space="preserve"> </w:t>
      </w:r>
      <w:r w:rsidR="002B5041" w:rsidRPr="00F61C79">
        <w:t>Balconies,</w:t>
      </w:r>
      <w:r w:rsidR="002B5041">
        <w:t xml:space="preserve"> </w:t>
      </w:r>
      <w:r w:rsidR="002B5041" w:rsidRPr="00F61C79">
        <w:t>patios,</w:t>
      </w:r>
      <w:r w:rsidR="002B5041">
        <w:t xml:space="preserve"> </w:t>
      </w:r>
      <w:r w:rsidR="002B5041" w:rsidRPr="00F61C79">
        <w:t>and</w:t>
      </w:r>
      <w:r w:rsidR="002B5041">
        <w:t xml:space="preserve"> </w:t>
      </w:r>
      <w:r w:rsidR="002B5041" w:rsidRPr="00F61C79">
        <w:t>decks</w:t>
      </w:r>
      <w:r w:rsidR="002B5041">
        <w:t xml:space="preserve"> </w:t>
      </w:r>
      <w:r w:rsidR="002B5041" w:rsidRPr="00F61C79">
        <w:t>are</w:t>
      </w:r>
      <w:r w:rsidR="002B5041">
        <w:t xml:space="preserve"> </w:t>
      </w:r>
      <w:r w:rsidR="002B5041" w:rsidRPr="00F61C79">
        <w:t>included</w:t>
      </w:r>
      <w:r w:rsidR="002B5041">
        <w:t xml:space="preserve"> </w:t>
      </w:r>
      <w:r w:rsidR="002B5041" w:rsidRPr="00F61C79">
        <w:t>in</w:t>
      </w:r>
      <w:r w:rsidR="002B5041">
        <w:t xml:space="preserve"> </w:t>
      </w:r>
      <w:r w:rsidR="002B5041" w:rsidRPr="00F61C79">
        <w:t>the</w:t>
      </w:r>
      <w:r w:rsidR="002B5041">
        <w:t xml:space="preserve"> </w:t>
      </w:r>
      <w:r w:rsidR="002B5041" w:rsidRPr="00F61C79">
        <w:t>definition</w:t>
      </w:r>
      <w:r w:rsidR="002B5041">
        <w:t xml:space="preserve"> </w:t>
      </w:r>
      <w:r w:rsidR="002B5041" w:rsidRPr="00F61C79">
        <w:t>of</w:t>
      </w:r>
      <w:r w:rsidR="002B5041">
        <w:t xml:space="preserve"> </w:t>
      </w:r>
      <w:r w:rsidR="002B5041" w:rsidRPr="00F61C79">
        <w:t>Unit.</w:t>
      </w:r>
    </w:p>
    <w:p w14:paraId="25F3DCBC" w14:textId="77777777" w:rsidR="00615A6D" w:rsidRPr="009525EE" w:rsidRDefault="00615A6D" w:rsidP="00615A6D">
      <w:pPr>
        <w:pStyle w:val="LevelA"/>
        <w:widowControl/>
        <w:ind w:left="0" w:firstLine="0"/>
      </w:pPr>
    </w:p>
    <w:p w14:paraId="1767E6E6" w14:textId="247DA9B9" w:rsidR="00615A6D" w:rsidRDefault="00615A6D" w:rsidP="00615A6D">
      <w:pPr>
        <w:pStyle w:val="bullets-abc"/>
        <w:widowControl/>
      </w:pPr>
      <w:r w:rsidRPr="009525EE">
        <w:t>(</w:t>
      </w:r>
      <w:r w:rsidR="00A3356B">
        <w:t>d</w:t>
      </w:r>
      <w:r w:rsidRPr="009525EE">
        <w:t>)</w:t>
      </w:r>
      <w:r w:rsidRPr="009525EE">
        <w:tab/>
        <w:t>“Dining Area” means any area, including streets and sidewalks</w:t>
      </w:r>
      <w:r>
        <w:t>, that</w:t>
      </w:r>
      <w:r w:rsidRPr="009525EE">
        <w:t xml:space="preserve"> is available to or customarily used by the gene</w:t>
      </w:r>
      <w:r>
        <w:t>ral public or an Employee, and that</w:t>
      </w:r>
      <w:r w:rsidRPr="009525EE">
        <w:t xml:space="preserve"> is designed, established, or regularly used for consuming food or drink.</w:t>
      </w:r>
    </w:p>
    <w:p w14:paraId="0811CDCA" w14:textId="77777777" w:rsidR="00615A6D" w:rsidRPr="009525EE" w:rsidRDefault="00615A6D" w:rsidP="00615A6D">
      <w:pPr>
        <w:pStyle w:val="bullets-abc"/>
        <w:widowControl/>
      </w:pPr>
    </w:p>
    <w:p w14:paraId="2E1075C2" w14:textId="77777777" w:rsidR="00615A6D" w:rsidRPr="00B31D7D" w:rsidRDefault="00615A6D" w:rsidP="00824922">
      <w:pPr>
        <w:pStyle w:val="commentsbox"/>
        <w:ind w:left="720"/>
      </w:pPr>
      <w:r w:rsidRPr="009525EE">
        <w:rPr>
          <w:b/>
          <w:caps/>
        </w:rPr>
        <w:t>comment</w:t>
      </w:r>
      <w:r w:rsidRPr="009525EE">
        <w:rPr>
          <w:b/>
          <w:smallCaps/>
        </w:rPr>
        <w:t>:</w:t>
      </w:r>
      <w:r w:rsidRPr="009525EE">
        <w:t xml:space="preserve"> This definition covers all Dining Areas, indoors and out, but </w:t>
      </w:r>
      <w:r w:rsidRPr="000B1FF0">
        <w:t>Section [____(*3)(a)]</w:t>
      </w:r>
      <w:r w:rsidRPr="009525EE">
        <w:t xml:space="preserve"> of this Model Ordinance </w:t>
      </w:r>
      <w:r w:rsidR="00E17F34">
        <w:t xml:space="preserve">specifically </w:t>
      </w:r>
      <w:r w:rsidRPr="009525EE">
        <w:t>prohibits Smoking in outdoor Dining Areas</w:t>
      </w:r>
      <w:r w:rsidR="00E17F34">
        <w:t xml:space="preserve">, because </w:t>
      </w:r>
      <w:r w:rsidRPr="009525EE">
        <w:t xml:space="preserve">Smoking in indoor Dining Areas is already prohibited by state law </w:t>
      </w:r>
      <w:r w:rsidRPr="0007280C">
        <w:t xml:space="preserve">(Labor Code section 6404.5). </w:t>
      </w:r>
    </w:p>
    <w:p w14:paraId="48824FDE" w14:textId="77777777" w:rsidR="00615A6D" w:rsidRPr="0007280C" w:rsidRDefault="00615A6D" w:rsidP="00615A6D">
      <w:pPr>
        <w:pStyle w:val="LevelA"/>
        <w:widowControl/>
        <w:ind w:left="0" w:firstLine="0"/>
      </w:pPr>
    </w:p>
    <w:p w14:paraId="4A3EE0EC" w14:textId="77777777" w:rsidR="00615A6D" w:rsidRPr="009525EE" w:rsidRDefault="0078056F" w:rsidP="00615A6D">
      <w:pPr>
        <w:pStyle w:val="bullets-abc"/>
        <w:widowControl/>
      </w:pPr>
      <w:r w:rsidRPr="00AC1F51" w:rsidDel="0078056F">
        <w:rPr>
          <w:rFonts w:cs="Times New Roman"/>
        </w:rPr>
        <w:t xml:space="preserve"> </w:t>
      </w:r>
      <w:r w:rsidR="00615A6D" w:rsidRPr="0007280C">
        <w:t>(</w:t>
      </w:r>
      <w:r>
        <w:t>e</w:t>
      </w:r>
      <w:r w:rsidR="00615A6D" w:rsidRPr="0007280C">
        <w:t>)</w:t>
      </w:r>
      <w:r w:rsidR="00615A6D" w:rsidRPr="0007280C">
        <w:tab/>
        <w:t>“Employee” means any Person who is employed or</w:t>
      </w:r>
      <w:r w:rsidR="00615A6D" w:rsidRPr="009525EE">
        <w:t xml:space="preserve"> retained as an independent contractor by any Employer in consideration for direct or indirect monetary wages or profit, or any Person who volunteers his or her services for an Employer.</w:t>
      </w:r>
    </w:p>
    <w:p w14:paraId="69479F70" w14:textId="77777777" w:rsidR="00615A6D" w:rsidRPr="009525EE" w:rsidRDefault="00615A6D" w:rsidP="00615A6D">
      <w:pPr>
        <w:pStyle w:val="LevelA"/>
        <w:widowControl/>
      </w:pPr>
    </w:p>
    <w:p w14:paraId="7BBC867E" w14:textId="3AAC1FE0" w:rsidR="00615A6D" w:rsidRPr="009525EE" w:rsidRDefault="00615A6D" w:rsidP="00824922">
      <w:pPr>
        <w:pStyle w:val="commentsbox"/>
        <w:ind w:left="720"/>
      </w:pPr>
      <w:r w:rsidRPr="009525EE">
        <w:rPr>
          <w:b/>
          <w:caps/>
        </w:rPr>
        <w:t>comment</w:t>
      </w:r>
      <w:r w:rsidRPr="009525EE">
        <w:rPr>
          <w:b/>
          <w:smallCaps/>
        </w:rPr>
        <w:t>:</w:t>
      </w:r>
      <w:r w:rsidRPr="009525EE">
        <w:t xml:space="preserve"> This definition makes clear that </w:t>
      </w:r>
      <w:r w:rsidR="00DF19A9">
        <w:t xml:space="preserve">Employees include volunteers, contract employees, </w:t>
      </w:r>
      <w:r w:rsidR="00CB4701">
        <w:t>and</w:t>
      </w:r>
      <w:r w:rsidR="00DF19A9">
        <w:t xml:space="preserve"> salaried staff.</w:t>
      </w:r>
    </w:p>
    <w:p w14:paraId="0A8084D1" w14:textId="77777777" w:rsidR="00615A6D" w:rsidRPr="009525EE" w:rsidRDefault="00615A6D" w:rsidP="00615A6D">
      <w:pPr>
        <w:pStyle w:val="LevelA"/>
        <w:widowControl/>
        <w:tabs>
          <w:tab w:val="clear" w:pos="1440"/>
        </w:tabs>
        <w:ind w:left="0" w:firstLine="0"/>
      </w:pPr>
    </w:p>
    <w:p w14:paraId="7F73EEE8" w14:textId="77777777" w:rsidR="00615A6D" w:rsidRPr="009525EE" w:rsidRDefault="00615A6D" w:rsidP="00615A6D">
      <w:pPr>
        <w:pStyle w:val="bullets-abc"/>
        <w:widowControl/>
      </w:pPr>
      <w:r w:rsidRPr="009525EE">
        <w:t>(</w:t>
      </w:r>
      <w:r w:rsidR="0078056F">
        <w:t>f</w:t>
      </w:r>
      <w:r w:rsidRPr="009525EE">
        <w:t xml:space="preserve">) </w:t>
      </w:r>
      <w:r w:rsidRPr="009525EE">
        <w:tab/>
        <w:t>“Employer” means any Business or Nonprofit Entity that retains the service of one or more Employees.</w:t>
      </w:r>
    </w:p>
    <w:p w14:paraId="1DA14833" w14:textId="77777777" w:rsidR="00615A6D" w:rsidRPr="009525EE" w:rsidRDefault="00615A6D" w:rsidP="00615A6D">
      <w:pPr>
        <w:pStyle w:val="bullets-abc"/>
        <w:widowControl/>
      </w:pPr>
    </w:p>
    <w:p w14:paraId="4F5B8134" w14:textId="77777777" w:rsidR="00615A6D" w:rsidRPr="009525EE" w:rsidRDefault="00615A6D" w:rsidP="00615A6D">
      <w:pPr>
        <w:pStyle w:val="bullets-abc"/>
        <w:widowControl/>
      </w:pPr>
      <w:r w:rsidRPr="009525EE">
        <w:t>(</w:t>
      </w:r>
      <w:r w:rsidR="0078056F">
        <w:t>g</w:t>
      </w:r>
      <w:r w:rsidRPr="009525EE">
        <w:t xml:space="preserve">) </w:t>
      </w:r>
      <w:r w:rsidRPr="009525EE">
        <w:tab/>
        <w:t>“Enclosed Area” means an area in which outside air cannot circulate freely to all parts of the area, and includes an area that has</w:t>
      </w:r>
      <w:r w:rsidR="00BD7973">
        <w:t xml:space="preserve"> </w:t>
      </w:r>
    </w:p>
    <w:p w14:paraId="047875F8" w14:textId="77777777" w:rsidR="00615A6D" w:rsidRPr="009525EE" w:rsidRDefault="00615A6D" w:rsidP="00615A6D">
      <w:pPr>
        <w:pStyle w:val="levela0"/>
        <w:ind w:left="720" w:firstLine="0"/>
      </w:pPr>
    </w:p>
    <w:p w14:paraId="1C5268E9" w14:textId="77777777" w:rsidR="00615A6D" w:rsidRPr="00B05B50" w:rsidRDefault="00615A6D" w:rsidP="00B05B50">
      <w:pPr>
        <w:pStyle w:val="bullets-123"/>
      </w:pPr>
      <w:r w:rsidRPr="009525EE">
        <w:t>(1)</w:t>
      </w:r>
      <w:r w:rsidRPr="009525EE">
        <w:rPr>
          <w:szCs w:val="14"/>
        </w:rPr>
        <w:t xml:space="preserve"> </w:t>
      </w:r>
      <w:r w:rsidRPr="00B05B50">
        <w:t>any type of overhead cover</w:t>
      </w:r>
      <w:r w:rsidR="00DF19A9">
        <w:t>,</w:t>
      </w:r>
      <w:r w:rsidRPr="00B05B50">
        <w:t xml:space="preserve"> whether or not that cover includes vents or other openings</w:t>
      </w:r>
      <w:r w:rsidR="00DF19A9">
        <w:t>,</w:t>
      </w:r>
      <w:r w:rsidRPr="00B05B50">
        <w:t xml:space="preserve"> and at least [ </w:t>
      </w:r>
      <w:r w:rsidR="004629F1" w:rsidRPr="00553822">
        <w:rPr>
          <w:u w:val="single"/>
        </w:rPr>
        <w:t>three (3)</w:t>
      </w:r>
      <w:r w:rsidRPr="00B05B50">
        <w:t xml:space="preserve"> ] walls or other vertical constraint to airflow</w:t>
      </w:r>
      <w:r w:rsidR="00B341A4">
        <w:t>,</w:t>
      </w:r>
      <w:r w:rsidRPr="00B05B50">
        <w:t xml:space="preserve"> including, but not limited to, vegetation of any height, whether or not those boundaries include vents or other openings; or</w:t>
      </w:r>
    </w:p>
    <w:p w14:paraId="208F86DE" w14:textId="77777777" w:rsidR="00615A6D" w:rsidRPr="00B05B50" w:rsidRDefault="00615A6D" w:rsidP="00B05B50">
      <w:pPr>
        <w:pStyle w:val="bullets-123"/>
      </w:pPr>
    </w:p>
    <w:p w14:paraId="3D35AC6B" w14:textId="77777777" w:rsidR="00615A6D" w:rsidRPr="00B05B50" w:rsidRDefault="00615A6D" w:rsidP="00B05B50">
      <w:pPr>
        <w:pStyle w:val="bullets-123"/>
      </w:pPr>
      <w:r w:rsidRPr="00B05B50">
        <w:lastRenderedPageBreak/>
        <w:t>(2)</w:t>
      </w:r>
      <w:r w:rsidRPr="00B05B50">
        <w:rPr>
          <w:szCs w:val="14"/>
        </w:rPr>
        <w:t xml:space="preserve"> </w:t>
      </w:r>
      <w:r w:rsidRPr="00B05B50">
        <w:t xml:space="preserve">[ </w:t>
      </w:r>
      <w:r w:rsidR="004629F1" w:rsidRPr="00553822">
        <w:rPr>
          <w:u w:val="single"/>
        </w:rPr>
        <w:t>four (4)</w:t>
      </w:r>
      <w:r w:rsidRPr="00B05B50">
        <w:t xml:space="preserve"> ] walls or other vertical constraints to airflow</w:t>
      </w:r>
      <w:r w:rsidR="002B5041">
        <w:t>,</w:t>
      </w:r>
      <w:r w:rsidRPr="00B05B50">
        <w:t xml:space="preserve"> including, but not limited to, vegetation</w:t>
      </w:r>
      <w:r w:rsidR="002B5041">
        <w:t>,</w:t>
      </w:r>
      <w:r w:rsidRPr="00B05B50">
        <w:t xml:space="preserve"> that exceed [ </w:t>
      </w:r>
      <w:r w:rsidR="004629F1" w:rsidRPr="00553822">
        <w:rPr>
          <w:u w:val="single"/>
        </w:rPr>
        <w:t>six (6)</w:t>
      </w:r>
      <w:r w:rsidRPr="00B05B50">
        <w:t xml:space="preserve"> ] feet in height, whether or not those boundaries include vents or other openings.</w:t>
      </w:r>
    </w:p>
    <w:p w14:paraId="4F24606F" w14:textId="77777777" w:rsidR="00615A6D" w:rsidRPr="009525EE" w:rsidRDefault="00615A6D" w:rsidP="00615A6D">
      <w:pPr>
        <w:pStyle w:val="LevelA"/>
        <w:widowControl/>
        <w:ind w:left="1440" w:firstLine="0"/>
      </w:pPr>
    </w:p>
    <w:p w14:paraId="7ADAAF45" w14:textId="0F136AD2" w:rsidR="00615A6D" w:rsidRPr="009525EE" w:rsidRDefault="00615A6D" w:rsidP="001A7EB0">
      <w:pPr>
        <w:pStyle w:val="commentsbox"/>
        <w:ind w:left="1080"/>
      </w:pPr>
      <w:r w:rsidRPr="009525EE">
        <w:rPr>
          <w:b/>
          <w:caps/>
        </w:rPr>
        <w:t>comment</w:t>
      </w:r>
      <w:r w:rsidRPr="009525EE">
        <w:rPr>
          <w:b/>
          <w:smallCaps/>
        </w:rPr>
        <w:t xml:space="preserve">: </w:t>
      </w:r>
      <w:r w:rsidRPr="009525EE">
        <w:t xml:space="preserve">This definition is narrow so that most areas will be considered Unenclosed Areas and therefore subject to the outdoor Smoking restrictions in this ordinance. </w:t>
      </w:r>
      <w:r w:rsidR="00145DDA">
        <w:t>(</w:t>
      </w:r>
      <w:r w:rsidR="00145DDA" w:rsidRPr="009525EE">
        <w:t>The definition of Unenclosed Area includes all areas that are not Enclosed Areas.</w:t>
      </w:r>
      <w:r w:rsidR="00145DDA">
        <w:t>)</w:t>
      </w:r>
      <w:r w:rsidR="001A7EB0">
        <w:br/>
      </w:r>
      <w:r w:rsidR="001A7EB0">
        <w:br/>
      </w:r>
      <w:r w:rsidRPr="009525EE">
        <w:t xml:space="preserve">The number of walls and the height threshold can be customized to meet the needs of your community, and changing these numbers will affect the scope of the ordinance. </w:t>
      </w:r>
      <w:r>
        <w:t>For instance, r</w:t>
      </w:r>
      <w:r w:rsidRPr="009525EE">
        <w:t>educing the number of walls in this definition would broaden the definition of Enclosed Area</w:t>
      </w:r>
      <w:r w:rsidR="00BD7973">
        <w:t xml:space="preserve"> </w:t>
      </w:r>
      <w:r>
        <w:t xml:space="preserve">and </w:t>
      </w:r>
      <w:r w:rsidRPr="009525EE">
        <w:t>narrow the definition of Unenclosed Area, thereby limiting the scope of the outdoor Smoking restrictions in this ordinance.</w:t>
      </w:r>
      <w:r w:rsidR="001A7EB0">
        <w:br/>
      </w:r>
      <w:r w:rsidR="001A7EB0">
        <w:br/>
      </w:r>
      <w:r w:rsidRPr="009525EE">
        <w:t xml:space="preserve">An area </w:t>
      </w:r>
      <w:r>
        <w:t>with</w:t>
      </w:r>
      <w:r w:rsidRPr="009525EE">
        <w:t xml:space="preserve"> partial </w:t>
      </w:r>
      <w:r>
        <w:t xml:space="preserve">overhead </w:t>
      </w:r>
      <w:r w:rsidRPr="009525EE">
        <w:t>cover</w:t>
      </w:r>
      <w:r>
        <w:t>ing</w:t>
      </w:r>
      <w:r w:rsidRPr="009525EE">
        <w:t xml:space="preserve"> would be analyzed under subparagraph (1), whereas areas that are </w:t>
      </w:r>
      <w:r>
        <w:t xml:space="preserve">completely </w:t>
      </w:r>
      <w:r w:rsidRPr="009525EE">
        <w:t xml:space="preserve">uncovered would be analyzed under subparagraph (2). </w:t>
      </w:r>
      <w:r w:rsidR="001A7EB0">
        <w:br/>
      </w:r>
      <w:r w:rsidR="001A7EB0">
        <w:br/>
      </w:r>
      <w:r w:rsidRPr="009525EE">
        <w:t>It can be difficult to apply Labor Code section 6404.5 to areas that are surrounded by lattice, hedges, and other nonsolid structures. For purposes of this ordinance</w:t>
      </w:r>
      <w:r>
        <w:t>,</w:t>
      </w:r>
      <w:r w:rsidRPr="009525EE">
        <w:t xml:space="preserve"> any </w:t>
      </w:r>
      <w:r w:rsidR="003B008E">
        <w:t xml:space="preserve">type of </w:t>
      </w:r>
      <w:r w:rsidRPr="009525EE">
        <w:t xml:space="preserve">vertical </w:t>
      </w:r>
      <w:r w:rsidR="003B008E">
        <w:t xml:space="preserve">physical </w:t>
      </w:r>
      <w:r w:rsidRPr="009525EE">
        <w:t xml:space="preserve">constraint to airflow, regardless of composition, constitutes an “other vertical constraint to airflow” for application of this definition. </w:t>
      </w:r>
      <w:r w:rsidR="001A7EB0">
        <w:br/>
      </w:r>
      <w:r w:rsidR="001A7EB0">
        <w:br/>
      </w:r>
      <w:r w:rsidR="00C70728" w:rsidRPr="009525EE">
        <w:rPr>
          <w:smallCaps/>
        </w:rPr>
        <w:t>NOTE:</w:t>
      </w:r>
      <w:r w:rsidR="00C70728" w:rsidRPr="009525EE">
        <w:t xml:space="preserve"> If the </w:t>
      </w:r>
      <w:r w:rsidR="001B15FC">
        <w:t>municipal code</w:t>
      </w:r>
      <w:r w:rsidR="00C70728" w:rsidRPr="009525EE">
        <w:t xml:space="preserve"> already has Smoking restrictions, it may contain a definition of “enclosed.” Review the </w:t>
      </w:r>
      <w:r w:rsidR="005766AE">
        <w:t>c</w:t>
      </w:r>
      <w:r w:rsidR="00C70728" w:rsidRPr="009525EE">
        <w:t>ode and make any necessary modification</w:t>
      </w:r>
      <w:r w:rsidR="00C70728">
        <w:t>s</w:t>
      </w:r>
      <w:r w:rsidR="00C70728" w:rsidRPr="009525EE">
        <w:t xml:space="preserve"> to existing definitions and/or operative provisions to ensure consistency with th</w:t>
      </w:r>
      <w:r w:rsidR="00C70728">
        <w:t>is</w:t>
      </w:r>
      <w:r w:rsidR="00C70728" w:rsidRPr="009525EE">
        <w:t xml:space="preserve"> new definition. </w:t>
      </w:r>
    </w:p>
    <w:p w14:paraId="3282F4FC" w14:textId="77777777" w:rsidR="00615A6D" w:rsidRPr="009525EE" w:rsidRDefault="00615A6D" w:rsidP="00615A6D">
      <w:pPr>
        <w:pStyle w:val="LevelA"/>
        <w:widowControl/>
      </w:pPr>
    </w:p>
    <w:p w14:paraId="64FD3864" w14:textId="01F2D733" w:rsidR="00B05B50" w:rsidRPr="00684DF0" w:rsidRDefault="00615A6D" w:rsidP="00615A6D">
      <w:pPr>
        <w:pStyle w:val="bullets-abc"/>
        <w:widowControl/>
        <w:rPr>
          <w:u w:val="single"/>
        </w:rPr>
      </w:pPr>
      <w:r w:rsidRPr="009525EE">
        <w:t>(</w:t>
      </w:r>
      <w:r w:rsidR="0078056F">
        <w:t>h</w:t>
      </w:r>
      <w:r w:rsidRPr="009525EE">
        <w:t>)</w:t>
      </w:r>
      <w:r w:rsidRPr="009525EE">
        <w:tab/>
        <w:t>“</w:t>
      </w:r>
      <w:r w:rsidR="002B5041">
        <w:t>Multiunit</w:t>
      </w:r>
      <w:r w:rsidR="004629F1" w:rsidRPr="00553822">
        <w:t xml:space="preserve"> Residence” means property containing two (2) or more Units</w:t>
      </w:r>
      <w:r w:rsidR="004C4485">
        <w:t>,</w:t>
      </w:r>
      <w:r w:rsidR="004C4485" w:rsidRPr="004C4485">
        <w:t xml:space="preserve"> including, but not limited to, apartment buildings, condominium complexes, senior and assisted living facilities, and long-term health care facilities.</w:t>
      </w:r>
      <w:r w:rsidRPr="009525EE">
        <w:t xml:space="preserve"> </w:t>
      </w:r>
      <w:r w:rsidRPr="00AC1F6D">
        <w:t>[</w:t>
      </w:r>
      <w:r w:rsidR="004C4485">
        <w:rPr>
          <w:u w:val="single"/>
        </w:rPr>
        <w:t>Multiunit Residences do not include the following</w:t>
      </w:r>
      <w:r w:rsidRPr="00AC1F6D">
        <w:rPr>
          <w:u w:val="single"/>
        </w:rPr>
        <w:t>:</w:t>
      </w:r>
    </w:p>
    <w:p w14:paraId="61695427" w14:textId="77777777" w:rsidR="00B05B50" w:rsidRPr="00553822" w:rsidRDefault="00B05B50" w:rsidP="00B05B50">
      <w:pPr>
        <w:pStyle w:val="bullets-123"/>
        <w:rPr>
          <w:u w:val="single"/>
        </w:rPr>
      </w:pPr>
    </w:p>
    <w:p w14:paraId="20CE57BA" w14:textId="77777777" w:rsidR="00B05B50" w:rsidRPr="00553822" w:rsidRDefault="004629F1" w:rsidP="00B05B50">
      <w:pPr>
        <w:pStyle w:val="bullets-123"/>
        <w:rPr>
          <w:u w:val="single"/>
        </w:rPr>
      </w:pPr>
      <w:r w:rsidRPr="00553822">
        <w:rPr>
          <w:u w:val="single"/>
        </w:rPr>
        <w:t>(1)</w:t>
      </w:r>
      <w:r w:rsidRPr="00553822">
        <w:rPr>
          <w:u w:val="single"/>
        </w:rPr>
        <w:tab/>
        <w:t xml:space="preserve">a hotel or motel that meets the requirements of California Civil Code section 1940(b)(2); </w:t>
      </w:r>
    </w:p>
    <w:p w14:paraId="27084234" w14:textId="77777777" w:rsidR="00B05B50" w:rsidRPr="00553822" w:rsidRDefault="00B05B50" w:rsidP="00B05B50">
      <w:pPr>
        <w:pStyle w:val="bullets-123"/>
        <w:rPr>
          <w:u w:val="single"/>
        </w:rPr>
      </w:pPr>
    </w:p>
    <w:p w14:paraId="02E0913F" w14:textId="77777777" w:rsidR="00B05B50" w:rsidRPr="00553822" w:rsidRDefault="004629F1" w:rsidP="00B05B50">
      <w:pPr>
        <w:pStyle w:val="bullets-123"/>
        <w:rPr>
          <w:u w:val="single"/>
        </w:rPr>
      </w:pPr>
      <w:r w:rsidRPr="00553822">
        <w:rPr>
          <w:u w:val="single"/>
        </w:rPr>
        <w:t>(2)</w:t>
      </w:r>
      <w:r w:rsidRPr="00553822">
        <w:rPr>
          <w:u w:val="single"/>
        </w:rPr>
        <w:tab/>
        <w:t xml:space="preserve">a mobile home park; </w:t>
      </w:r>
    </w:p>
    <w:p w14:paraId="7C30D4E1" w14:textId="77777777" w:rsidR="00B05B50" w:rsidRPr="00553822" w:rsidRDefault="00B05B50" w:rsidP="00B05B50">
      <w:pPr>
        <w:pStyle w:val="bullets-123"/>
        <w:rPr>
          <w:u w:val="single"/>
        </w:rPr>
      </w:pPr>
    </w:p>
    <w:p w14:paraId="7863C861" w14:textId="77777777" w:rsidR="00B05B50" w:rsidRPr="00553822" w:rsidRDefault="004629F1" w:rsidP="00B05B50">
      <w:pPr>
        <w:pStyle w:val="bullets-123"/>
        <w:rPr>
          <w:u w:val="single"/>
        </w:rPr>
      </w:pPr>
      <w:r w:rsidRPr="00553822">
        <w:rPr>
          <w:u w:val="single"/>
        </w:rPr>
        <w:t>(3)</w:t>
      </w:r>
      <w:r w:rsidRPr="00553822">
        <w:rPr>
          <w:u w:val="single"/>
        </w:rPr>
        <w:tab/>
        <w:t xml:space="preserve">a campground; </w:t>
      </w:r>
    </w:p>
    <w:p w14:paraId="270B1FC2" w14:textId="77777777" w:rsidR="00B05B50" w:rsidRPr="00553822" w:rsidRDefault="00B05B50" w:rsidP="00B05B50">
      <w:pPr>
        <w:pStyle w:val="bullets-123"/>
        <w:rPr>
          <w:u w:val="single"/>
        </w:rPr>
      </w:pPr>
    </w:p>
    <w:p w14:paraId="70CE2C51" w14:textId="77777777" w:rsidR="00B05B50" w:rsidRPr="00553822" w:rsidRDefault="004629F1" w:rsidP="00B05B50">
      <w:pPr>
        <w:pStyle w:val="bullets-123"/>
        <w:rPr>
          <w:u w:val="single"/>
        </w:rPr>
      </w:pPr>
      <w:r w:rsidRPr="00553822">
        <w:rPr>
          <w:u w:val="single"/>
        </w:rPr>
        <w:t>(4)</w:t>
      </w:r>
      <w:r w:rsidRPr="00553822">
        <w:rPr>
          <w:u w:val="single"/>
        </w:rPr>
        <w:tab/>
        <w:t xml:space="preserve">a marina or port; </w:t>
      </w:r>
    </w:p>
    <w:p w14:paraId="30870D46" w14:textId="77777777" w:rsidR="00B05B50" w:rsidRPr="00553822" w:rsidRDefault="00B05B50" w:rsidP="00B05B50">
      <w:pPr>
        <w:pStyle w:val="bullets-123"/>
        <w:rPr>
          <w:u w:val="single"/>
        </w:rPr>
      </w:pPr>
    </w:p>
    <w:p w14:paraId="4814F4FF" w14:textId="5C367147" w:rsidR="00B05B50" w:rsidRPr="00553822" w:rsidRDefault="004629F1" w:rsidP="00B05B50">
      <w:pPr>
        <w:pStyle w:val="bullets-123"/>
        <w:rPr>
          <w:u w:val="single"/>
        </w:rPr>
      </w:pPr>
      <w:r w:rsidRPr="00553822">
        <w:rPr>
          <w:u w:val="single"/>
        </w:rPr>
        <w:t>(5)</w:t>
      </w:r>
      <w:r w:rsidRPr="00553822">
        <w:rPr>
          <w:u w:val="single"/>
        </w:rPr>
        <w:tab/>
        <w:t>a single-family home</w:t>
      </w:r>
      <w:r w:rsidR="004C4485" w:rsidRPr="004C4485">
        <w:rPr>
          <w:u w:val="single"/>
        </w:rPr>
        <w:t>, except if used as a health care facility subject to licensing requirements; and</w:t>
      </w:r>
      <w:r w:rsidRPr="00553822">
        <w:rPr>
          <w:u w:val="single"/>
        </w:rPr>
        <w:t xml:space="preserve"> </w:t>
      </w:r>
    </w:p>
    <w:p w14:paraId="6707A7D0" w14:textId="77777777" w:rsidR="00B05B50" w:rsidRPr="00553822" w:rsidRDefault="00B05B50" w:rsidP="00B05B50">
      <w:pPr>
        <w:pStyle w:val="bullets-123"/>
        <w:rPr>
          <w:u w:val="single"/>
        </w:rPr>
      </w:pPr>
    </w:p>
    <w:p w14:paraId="2BBDB3DA" w14:textId="77777777" w:rsidR="00615A6D" w:rsidRPr="009525EE" w:rsidRDefault="004629F1" w:rsidP="00824922">
      <w:pPr>
        <w:pStyle w:val="bullets-123"/>
        <w:spacing w:after="120"/>
      </w:pPr>
      <w:r w:rsidRPr="00553822">
        <w:rPr>
          <w:u w:val="single"/>
        </w:rPr>
        <w:lastRenderedPageBreak/>
        <w:t>(6)</w:t>
      </w:r>
      <w:r w:rsidRPr="00553822">
        <w:rPr>
          <w:u w:val="single"/>
        </w:rPr>
        <w:tab/>
        <w:t>a single-family home with a detached or attached in-law or second Unit</w:t>
      </w:r>
      <w:r w:rsidRPr="00553822">
        <w:t xml:space="preserve"> </w:t>
      </w:r>
      <w:r w:rsidR="004C4485" w:rsidRPr="004C4485">
        <w:t>permitted pursuant to California Government Code sections 65852.1, 65852.150, 65852.2</w:t>
      </w:r>
      <w:r w:rsidR="00C44197">
        <w:t>,</w:t>
      </w:r>
      <w:r w:rsidR="004C4485" w:rsidRPr="004C4485">
        <w:t xml:space="preserve"> or an ordinance of the [ City / County ] adopted pursuant to those sections, except if the single-family home or in-law/second unit is used as a health care facility subject to licensing requirements.</w:t>
      </w:r>
      <w:r w:rsidR="00AC1F6D" w:rsidRPr="00AC1F6D">
        <w:t>]</w:t>
      </w:r>
      <w:r w:rsidR="00B05B50" w:rsidRPr="00EE2FD3">
        <w:t>.</w:t>
      </w:r>
      <w:r w:rsidR="00B05B50">
        <w:t xml:space="preserve"> </w:t>
      </w:r>
    </w:p>
    <w:p w14:paraId="27A96B25" w14:textId="77777777" w:rsidR="00615A6D" w:rsidRPr="009525EE" w:rsidRDefault="00615A6D" w:rsidP="00615A6D">
      <w:pPr>
        <w:pStyle w:val="LevelA"/>
        <w:widowControl/>
      </w:pPr>
    </w:p>
    <w:p w14:paraId="2AADE7E7" w14:textId="3EEBD4EB" w:rsidR="001B15FC" w:rsidRPr="001A7EB0" w:rsidRDefault="00615A6D" w:rsidP="001A7EB0">
      <w:pPr>
        <w:pStyle w:val="commentsbox"/>
        <w:ind w:left="1080"/>
      </w:pPr>
      <w:r w:rsidRPr="009525EE">
        <w:rPr>
          <w:b/>
          <w:caps/>
        </w:rPr>
        <w:t>comment</w:t>
      </w:r>
      <w:r w:rsidRPr="009525EE">
        <w:rPr>
          <w:b/>
          <w:smallCaps/>
        </w:rPr>
        <w:t xml:space="preserve">: </w:t>
      </w:r>
      <w:r w:rsidRPr="009525EE">
        <w:t>This definition is intended to be used in conjunction with the definition of Unit in this Model Ordinance, which makes clear that this term is limited to dwelling spaces.</w:t>
      </w:r>
      <w:r w:rsidR="001A7EB0">
        <w:br/>
      </w:r>
      <w:r w:rsidR="001A7EB0">
        <w:br/>
      </w:r>
      <w:r w:rsidRPr="009525EE">
        <w:t>Because the definition of Unit is broad and includes all types of dwelling places</w:t>
      </w:r>
      <w:r w:rsidR="00C44197">
        <w:t>—</w:t>
      </w:r>
      <w:r w:rsidRPr="009525EE">
        <w:t>from rooms in a hotel to tents at a campground</w:t>
      </w:r>
      <w:r w:rsidR="00C44197">
        <w:t>—</w:t>
      </w:r>
      <w:r w:rsidRPr="009525EE">
        <w:t>a community may want to limit the types of dwelling places covered by this Model Ordinance. The optional language provides examples of the types of exceptions that communities are likely to consider.</w:t>
      </w:r>
      <w:r>
        <w:t xml:space="preserve"> </w:t>
      </w:r>
      <w:r w:rsidRPr="00383F1B">
        <w:t>Single-family residences are suggested as an exemption because the definition of Unit in this ordinance includes individual bedrooms in a single-family home. Thus</w:t>
      </w:r>
      <w:r w:rsidR="00AC1F6D">
        <w:t>,</w:t>
      </w:r>
      <w:r w:rsidRPr="00383F1B">
        <w:t xml:space="preserve"> a two-bedroom free-standing house would be a </w:t>
      </w:r>
      <w:r w:rsidR="002B5041">
        <w:t>Multiunit</w:t>
      </w:r>
      <w:r w:rsidRPr="00383F1B">
        <w:t xml:space="preserve"> Residence per the definitions in this ordinance, unless the exemption is included.</w:t>
      </w:r>
      <w:r w:rsidR="001A7EB0">
        <w:br/>
      </w:r>
      <w:r w:rsidR="001A7EB0">
        <w:br/>
      </w:r>
      <w:r w:rsidRPr="009525EE">
        <w:t xml:space="preserve">Note that the definition of </w:t>
      </w:r>
      <w:r w:rsidR="002B5041">
        <w:t>Multiunit</w:t>
      </w:r>
      <w:r w:rsidRPr="009525EE">
        <w:t xml:space="preserve"> Residence without any exemptions would include the following types of dwelling places: apartments, condominiums, townhomes, co-ops, and co-housing; affordable housing (for seniors, for disabled tenants, for Section 8, etc.); long-term health care facilities, assisted living facilities, hospitals, and family support facilities; hotels, motels, single room occupancy (SRO) facilities, dormitories, and homeless shelters; mobile home parks, campgrounds, marinas, and ports; single-family homes and single-family homes with an in-law </w:t>
      </w:r>
      <w:r>
        <w:t>U</w:t>
      </w:r>
      <w:r w:rsidRPr="009525EE">
        <w:t>nit.</w:t>
      </w:r>
      <w:r w:rsidR="00C70728">
        <w:t xml:space="preserve"> </w:t>
      </w:r>
      <w:r w:rsidR="001A7EB0">
        <w:br/>
      </w:r>
      <w:r w:rsidR="001A7EB0">
        <w:br/>
      </w:r>
      <w:r w:rsidR="001B15FC" w:rsidRPr="001B15FC">
        <w:rPr>
          <w:szCs w:val="20"/>
        </w:rPr>
        <w:t>The U.S. Department of Housing and Urban Development requires public housing agencies to adopt a policy prohibiting Smoking in all indoor areas, including residential units, and outside spaces within 25 feet of indoor areas by July 31, 2018.</w:t>
      </w:r>
    </w:p>
    <w:p w14:paraId="6CA65CD6" w14:textId="77777777" w:rsidR="00615A6D" w:rsidRPr="009525EE" w:rsidRDefault="00615A6D" w:rsidP="00615A6D">
      <w:pPr>
        <w:pStyle w:val="LevelA"/>
        <w:widowControl/>
      </w:pPr>
    </w:p>
    <w:p w14:paraId="4544685D" w14:textId="77777777" w:rsidR="00615A6D" w:rsidRPr="009525EE" w:rsidRDefault="00615A6D" w:rsidP="00615A6D">
      <w:pPr>
        <w:pStyle w:val="bullets-abc"/>
        <w:widowControl/>
      </w:pPr>
      <w:r w:rsidRPr="009525EE">
        <w:t>(</w:t>
      </w:r>
      <w:r w:rsidR="0078056F">
        <w:t>i</w:t>
      </w:r>
      <w:r w:rsidRPr="009525EE">
        <w:t>)</w:t>
      </w:r>
      <w:r w:rsidRPr="009525EE">
        <w:tab/>
        <w:t>“Nonprofit Entity” means any entity that meets the requirements of California Corporations Code section 5003 as well as any corporation, unincorporated association</w:t>
      </w:r>
      <w:r>
        <w:t>,</w:t>
      </w:r>
      <w:r w:rsidRPr="009525EE">
        <w:t xml:space="preserve"> or other entity created for charitable, religious, philanthropic, educational, political, social</w:t>
      </w:r>
      <w:r>
        <w:t>,</w:t>
      </w:r>
      <w:r w:rsidRPr="009525EE">
        <w:t xml:space="preserve"> or similar purposes, the net proceeds of which are committed to the promotion of the objectives or purposes of the entity and not to private gain. A government agency is not a Nonprofit Entity within the meaning of this [ </w:t>
      </w:r>
      <w:r w:rsidRPr="009525EE">
        <w:rPr>
          <w:u w:val="single"/>
        </w:rPr>
        <w:t>article</w:t>
      </w:r>
      <w:r w:rsidRPr="009525EE">
        <w:t xml:space="preserve"> / </w:t>
      </w:r>
      <w:r w:rsidRPr="009525EE">
        <w:rPr>
          <w:u w:val="double"/>
        </w:rPr>
        <w:t>chapter</w:t>
      </w:r>
      <w:r w:rsidRPr="009525EE">
        <w:t> ].</w:t>
      </w:r>
    </w:p>
    <w:p w14:paraId="6C64A3E7" w14:textId="77777777" w:rsidR="00615A6D" w:rsidRPr="009525EE" w:rsidRDefault="00615A6D" w:rsidP="00615A6D">
      <w:pPr>
        <w:pStyle w:val="LevelA"/>
        <w:widowControl/>
      </w:pPr>
    </w:p>
    <w:p w14:paraId="6BF0D93D"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definition is broader than the IRS designation of a nonprofit organization in order to cover more informal groups and associations.</w:t>
      </w:r>
    </w:p>
    <w:p w14:paraId="11CAF0F9" w14:textId="77777777" w:rsidR="00615A6D" w:rsidRPr="009525EE" w:rsidRDefault="00615A6D" w:rsidP="00615A6D">
      <w:pPr>
        <w:pStyle w:val="LevelA"/>
        <w:widowControl/>
      </w:pPr>
    </w:p>
    <w:p w14:paraId="318B4505" w14:textId="77777777" w:rsidR="00615A6D" w:rsidRPr="009525EE" w:rsidRDefault="00615A6D" w:rsidP="00615A6D">
      <w:pPr>
        <w:pStyle w:val="bullets-abc"/>
        <w:widowControl/>
      </w:pPr>
      <w:r w:rsidRPr="009525EE">
        <w:t>(</w:t>
      </w:r>
      <w:r w:rsidR="0078056F">
        <w:t>j</w:t>
      </w:r>
      <w:r w:rsidRPr="009525EE">
        <w:t>)</w:t>
      </w:r>
      <w:r w:rsidRPr="009525EE">
        <w:tab/>
      </w:r>
      <w:r w:rsidR="001B15FC" w:rsidRPr="001B15FC">
        <w:t>“Person” means any natural person, partnership, cooperative association, corporation, personal representative, receiver, trustee, assignee, or any other legal entity, including government agencies.</w:t>
      </w:r>
    </w:p>
    <w:p w14:paraId="46E38C02" w14:textId="77777777" w:rsidR="00615A6D" w:rsidRPr="009525EE" w:rsidRDefault="00615A6D" w:rsidP="00615A6D">
      <w:pPr>
        <w:pStyle w:val="LevelA"/>
        <w:widowControl/>
      </w:pPr>
    </w:p>
    <w:p w14:paraId="2A437944" w14:textId="6FE9B5C4" w:rsidR="00615A6D" w:rsidRPr="00C44197" w:rsidRDefault="00615A6D" w:rsidP="001A7EB0">
      <w:pPr>
        <w:pStyle w:val="commentsbox"/>
        <w:ind w:left="720"/>
      </w:pPr>
      <w:r w:rsidRPr="009525EE">
        <w:rPr>
          <w:b/>
          <w:caps/>
        </w:rPr>
        <w:t>comment</w:t>
      </w:r>
      <w:r w:rsidRPr="009525EE">
        <w:rPr>
          <w:b/>
          <w:smallCaps/>
        </w:rPr>
        <w:t xml:space="preserve">: </w:t>
      </w:r>
      <w:r w:rsidRPr="009525EE">
        <w:t>This definition incorporates numerous entities</w:t>
      </w:r>
      <w:r>
        <w:t>,</w:t>
      </w:r>
      <w:r w:rsidRPr="009525EE">
        <w:t xml:space="preserve"> including Business, Employer, Nonprofit Entity, landlord, and individual. In addition, it includes the City or County. </w:t>
      </w:r>
      <w:r w:rsidR="001A7EB0">
        <w:br/>
      </w:r>
      <w:r w:rsidR="001A7EB0">
        <w:br/>
      </w:r>
      <w:r w:rsidRPr="009525EE">
        <w:t xml:space="preserve">The </w:t>
      </w:r>
      <w:r w:rsidR="001B15FC">
        <w:t>m</w:t>
      </w:r>
      <w:r w:rsidRPr="009525EE">
        <w:t xml:space="preserve">unicipal </w:t>
      </w:r>
      <w:r w:rsidR="001B15FC">
        <w:t>c</w:t>
      </w:r>
      <w:r w:rsidRPr="009525EE">
        <w:t>ode may contain a definition of “person”</w:t>
      </w:r>
      <w:r>
        <w:t>;</w:t>
      </w:r>
      <w:r w:rsidRPr="009525EE">
        <w:t xml:space="preserve"> review any existing definition of “person” in the </w:t>
      </w:r>
      <w:r w:rsidR="001B15FC">
        <w:t>m</w:t>
      </w:r>
      <w:r w:rsidRPr="009525EE">
        <w:t xml:space="preserve">unicipal </w:t>
      </w:r>
      <w:r w:rsidR="001B15FC">
        <w:t>c</w:t>
      </w:r>
      <w:r w:rsidRPr="009525EE">
        <w:t xml:space="preserve">ode to determine whether to include this definition in your ordinance. </w:t>
      </w:r>
      <w:r w:rsidR="001A7EB0">
        <w:br/>
      </w:r>
      <w:r w:rsidR="001A7EB0">
        <w:br/>
      </w:r>
      <w:r w:rsidRPr="00C44197">
        <w:t xml:space="preserve">Note: If </w:t>
      </w:r>
      <w:r w:rsidR="00683870" w:rsidRPr="001A7EB0">
        <w:t>Section [(*6)(g)]</w:t>
      </w:r>
      <w:r w:rsidR="00C44197">
        <w:t>—</w:t>
      </w:r>
      <w:r w:rsidRPr="00C44197">
        <w:t>private citizen enforcement</w:t>
      </w:r>
      <w:r w:rsidR="00C44197">
        <w:t>—</w:t>
      </w:r>
      <w:r w:rsidRPr="00C44197">
        <w:t>is included in the ordinance, keep this specific definition of “Person.”</w:t>
      </w:r>
    </w:p>
    <w:p w14:paraId="798FFFD7" w14:textId="77777777" w:rsidR="00615A6D" w:rsidRPr="009525EE" w:rsidRDefault="00615A6D" w:rsidP="00615A6D">
      <w:pPr>
        <w:pStyle w:val="LevelA"/>
        <w:widowControl/>
        <w:ind w:left="0" w:firstLine="0"/>
      </w:pPr>
    </w:p>
    <w:p w14:paraId="2456C8A7" w14:textId="77777777" w:rsidR="00615A6D" w:rsidRDefault="00615A6D" w:rsidP="00B05B50">
      <w:pPr>
        <w:pStyle w:val="bullets-abc"/>
      </w:pPr>
      <w:r w:rsidRPr="005578AF">
        <w:t>(</w:t>
      </w:r>
      <w:r w:rsidR="0078056F">
        <w:t>k</w:t>
      </w:r>
      <w:r w:rsidRPr="005578AF">
        <w:t>)</w:t>
      </w:r>
      <w:r w:rsidRPr="005578AF">
        <w:tab/>
        <w:t>“</w:t>
      </w:r>
      <w:r w:rsidRPr="001E1875">
        <w:t>Place of Employment</w:t>
      </w:r>
      <w:r w:rsidRPr="005578AF">
        <w:t>” means any area under the legal or de facto control of an Employer that an Employee or the general public may have cause to enter in the normal course of the operations, regardless of the hours of operation.</w:t>
      </w:r>
    </w:p>
    <w:p w14:paraId="305C77B9" w14:textId="77777777" w:rsidR="00615A6D" w:rsidRDefault="00615A6D" w:rsidP="00615A6D">
      <w:pPr>
        <w:pStyle w:val="LevelA"/>
        <w:widowControl/>
        <w:ind w:left="634" w:firstLine="0"/>
      </w:pPr>
    </w:p>
    <w:p w14:paraId="6669D1DE" w14:textId="77777777" w:rsidR="00615A6D" w:rsidRPr="009525EE" w:rsidRDefault="00615A6D" w:rsidP="00615A6D">
      <w:pPr>
        <w:pStyle w:val="bullets-abc"/>
        <w:widowControl/>
      </w:pPr>
      <w:r w:rsidRPr="009525EE">
        <w:t>(</w:t>
      </w:r>
      <w:r w:rsidR="0078056F">
        <w:t>l</w:t>
      </w:r>
      <w:r w:rsidRPr="009525EE">
        <w:t>)</w:t>
      </w:r>
      <w:r w:rsidRPr="009525EE">
        <w:tab/>
        <w:t xml:space="preserve">“Public Place” means any place, publicly or privately owned, which is open to the general public regardless of any fee or age requirement. </w:t>
      </w:r>
    </w:p>
    <w:p w14:paraId="04A50D71" w14:textId="77777777" w:rsidR="00615A6D" w:rsidRPr="009525EE" w:rsidRDefault="00615A6D" w:rsidP="00615A6D">
      <w:pPr>
        <w:pStyle w:val="LevelA"/>
        <w:widowControl/>
      </w:pPr>
    </w:p>
    <w:p w14:paraId="44F02F4B" w14:textId="7160E3BF" w:rsidR="00615A6D" w:rsidRPr="001A7EB0" w:rsidRDefault="00615A6D" w:rsidP="001A7EB0">
      <w:pPr>
        <w:pStyle w:val="commentsbox"/>
        <w:ind w:left="720"/>
        <w:rPr>
          <w:szCs w:val="20"/>
        </w:rPr>
      </w:pPr>
      <w:r w:rsidRPr="009525EE">
        <w:rPr>
          <w:b/>
          <w:caps/>
        </w:rPr>
        <w:t>comment</w:t>
      </w:r>
      <w:r w:rsidRPr="009525EE">
        <w:rPr>
          <w:b/>
          <w:smallCaps/>
        </w:rPr>
        <w:t>:</w:t>
      </w:r>
      <w:r w:rsidRPr="009525EE">
        <w:t xml:space="preserve"> This is a very broad definition</w:t>
      </w:r>
      <w:r>
        <w:t>,</w:t>
      </w:r>
      <w:r w:rsidRPr="009525EE">
        <w:t xml:space="preserve"> intended as a “catchall” to include all public areas </w:t>
      </w:r>
      <w:r w:rsidRPr="00193192">
        <w:rPr>
          <w:szCs w:val="20"/>
        </w:rPr>
        <w:t xml:space="preserve">that do not fall within any other definition in this Model Ordinance. </w:t>
      </w:r>
      <w:r w:rsidR="001A7EB0">
        <w:rPr>
          <w:szCs w:val="20"/>
        </w:rPr>
        <w:br/>
      </w:r>
      <w:r w:rsidR="001A7EB0">
        <w:rPr>
          <w:szCs w:val="20"/>
        </w:rPr>
        <w:br/>
      </w:r>
      <w:r w:rsidRPr="005C029D">
        <w:t xml:space="preserve">This definition is also broad enough to include all streets and sidewalks, even when they are not being used as an event site or to provide a service to the public. </w:t>
      </w:r>
      <w:r w:rsidRPr="000B1FF0">
        <w:t>Section [____(*3(a)(6)]</w:t>
      </w:r>
      <w:r w:rsidRPr="005C029D">
        <w:t xml:space="preserve"> contains optional language that can be used to exclude streets and sidewalks from most Smoking restrictions.</w:t>
      </w:r>
      <w:r w:rsidR="00C70728">
        <w:t xml:space="preserve"> </w:t>
      </w:r>
      <w:r w:rsidR="001A7EB0">
        <w:rPr>
          <w:szCs w:val="20"/>
        </w:rPr>
        <w:br/>
      </w:r>
      <w:r w:rsidR="001A7EB0">
        <w:rPr>
          <w:szCs w:val="20"/>
        </w:rPr>
        <w:br/>
      </w:r>
      <w:r w:rsidR="00C70728" w:rsidRPr="00193192">
        <w:rPr>
          <w:rFonts w:cs="Arial"/>
          <w:szCs w:val="20"/>
        </w:rPr>
        <w:t>Note</w:t>
      </w:r>
      <w:r w:rsidR="00C70728">
        <w:rPr>
          <w:rFonts w:cs="Arial"/>
          <w:szCs w:val="20"/>
        </w:rPr>
        <w:t xml:space="preserve">: Although </w:t>
      </w:r>
      <w:r w:rsidR="001C0EBA">
        <w:rPr>
          <w:rFonts w:cs="Arial"/>
          <w:szCs w:val="20"/>
        </w:rPr>
        <w:t xml:space="preserve">state law prohibits </w:t>
      </w:r>
      <w:r w:rsidR="00CB4701">
        <w:rPr>
          <w:rFonts w:cs="Arial"/>
          <w:szCs w:val="20"/>
        </w:rPr>
        <w:t>S</w:t>
      </w:r>
      <w:r w:rsidR="001C0EBA">
        <w:rPr>
          <w:rFonts w:cs="Arial"/>
          <w:szCs w:val="20"/>
        </w:rPr>
        <w:t>moking of C</w:t>
      </w:r>
      <w:r w:rsidR="00C70728">
        <w:rPr>
          <w:rFonts w:cs="Arial"/>
          <w:szCs w:val="20"/>
        </w:rPr>
        <w:t>annabis in “any public place</w:t>
      </w:r>
      <w:r w:rsidR="00C44197">
        <w:rPr>
          <w:rFonts w:cs="Arial"/>
          <w:szCs w:val="20"/>
        </w:rPr>
        <w:t>,</w:t>
      </w:r>
      <w:r w:rsidR="00C70728">
        <w:rPr>
          <w:rFonts w:cs="Arial"/>
          <w:szCs w:val="20"/>
        </w:rPr>
        <w:t>”</w:t>
      </w:r>
      <w:r w:rsidR="000F76A4">
        <w:rPr>
          <w:rFonts w:cs="Arial"/>
          <w:szCs w:val="20"/>
        </w:rPr>
        <w:t xml:space="preserve"> “</w:t>
      </w:r>
      <w:r w:rsidR="001C7DC2">
        <w:rPr>
          <w:rFonts w:cs="Arial"/>
          <w:szCs w:val="20"/>
        </w:rPr>
        <w:t xml:space="preserve">public place” is not defined </w:t>
      </w:r>
      <w:r w:rsidR="000F76A4">
        <w:rPr>
          <w:rFonts w:cs="Arial"/>
          <w:szCs w:val="20"/>
        </w:rPr>
        <w:t>within the statute</w:t>
      </w:r>
      <w:r w:rsidR="0088078D">
        <w:rPr>
          <w:rFonts w:cs="Arial"/>
          <w:szCs w:val="20"/>
        </w:rPr>
        <w:t>.</w:t>
      </w:r>
      <w:r w:rsidR="00C70728">
        <w:rPr>
          <w:rFonts w:cs="Arial"/>
          <w:szCs w:val="20"/>
        </w:rPr>
        <w:t xml:space="preserve"> While this </w:t>
      </w:r>
      <w:r w:rsidR="000F76A4">
        <w:rPr>
          <w:rFonts w:cs="Arial"/>
          <w:szCs w:val="20"/>
        </w:rPr>
        <w:t>phrase</w:t>
      </w:r>
      <w:r w:rsidR="00C70728">
        <w:rPr>
          <w:rFonts w:cs="Arial"/>
          <w:szCs w:val="20"/>
        </w:rPr>
        <w:t xml:space="preserve"> is generally understood </w:t>
      </w:r>
      <w:r w:rsidR="00C70728" w:rsidRPr="00326F8C">
        <w:rPr>
          <w:rFonts w:cs="Arial"/>
          <w:szCs w:val="20"/>
        </w:rPr>
        <w:t>to include places open and accessible to the public</w:t>
      </w:r>
      <w:r w:rsidR="00C70728">
        <w:rPr>
          <w:rFonts w:cs="Arial"/>
          <w:szCs w:val="20"/>
        </w:rPr>
        <w:t>, it may not be as broad or expansive as the definition of Public Place used in this Model Ordinance.</w:t>
      </w:r>
    </w:p>
    <w:p w14:paraId="4D533B78" w14:textId="77777777" w:rsidR="00615A6D" w:rsidRPr="009525EE" w:rsidRDefault="00615A6D" w:rsidP="00615A6D">
      <w:pPr>
        <w:pStyle w:val="LevelA"/>
        <w:widowControl/>
      </w:pPr>
    </w:p>
    <w:p w14:paraId="0D1D41AA" w14:textId="77777777" w:rsidR="00615A6D" w:rsidRPr="009525EE" w:rsidRDefault="00615A6D" w:rsidP="00B05B50">
      <w:pPr>
        <w:pStyle w:val="bullets-abc"/>
      </w:pPr>
      <w:r w:rsidRPr="009525EE">
        <w:t>(</w:t>
      </w:r>
      <w:r w:rsidR="0078056F">
        <w:t>m</w:t>
      </w:r>
      <w:r w:rsidRPr="009525EE">
        <w:t>)</w:t>
      </w:r>
      <w:r>
        <w:tab/>
      </w:r>
      <w:r w:rsidRPr="009525EE">
        <w:t>“</w:t>
      </w:r>
      <w:r w:rsidRPr="005C029D">
        <w:t>Reasonable Distance</w:t>
      </w:r>
      <w:r w:rsidRPr="009525EE">
        <w:t xml:space="preserve">” means a distance of [ </w:t>
      </w:r>
      <w:r w:rsidRPr="009525EE">
        <w:rPr>
          <w:u w:val="single"/>
        </w:rPr>
        <w:t>twenty-five (25</w:t>
      </w:r>
      <w:r w:rsidRPr="009525EE">
        <w:t xml:space="preserve">) ] feet in any direction from an area in which Smoking is prohibited. </w:t>
      </w:r>
    </w:p>
    <w:p w14:paraId="366CCCC8" w14:textId="77777777" w:rsidR="00615A6D" w:rsidRPr="009525EE" w:rsidRDefault="00615A6D" w:rsidP="00615A6D">
      <w:pPr>
        <w:pStyle w:val="LevelA"/>
        <w:widowControl/>
      </w:pPr>
    </w:p>
    <w:p w14:paraId="06F8ED13"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The number of feet constituting Reasonable Distance can be changed to ensure a sufficient buffer from drifting Smoke.</w:t>
      </w:r>
      <w:r>
        <w:t xml:space="preserve"> In addition, t</w:t>
      </w:r>
      <w:r w:rsidRPr="009525EE">
        <w:t xml:space="preserve">he </w:t>
      </w:r>
      <w:r w:rsidR="001B15FC">
        <w:t>municipal code</w:t>
      </w:r>
      <w:r w:rsidRPr="009525EE">
        <w:t xml:space="preserve"> may contain a definition of “</w:t>
      </w:r>
      <w:r>
        <w:t>reasonable distance</w:t>
      </w:r>
      <w:r w:rsidR="000F76A4">
        <w:t>.</w:t>
      </w:r>
      <w:r w:rsidRPr="009525EE">
        <w:t xml:space="preserve">” </w:t>
      </w:r>
      <w:r w:rsidR="000F76A4">
        <w:t>R</w:t>
      </w:r>
      <w:r w:rsidRPr="009525EE">
        <w:t>evi</w:t>
      </w:r>
      <w:r>
        <w:t>ew any existing definition of “reasonable distance</w:t>
      </w:r>
      <w:r w:rsidRPr="009525EE">
        <w:t xml:space="preserve">” in the </w:t>
      </w:r>
      <w:r w:rsidR="001B15FC">
        <w:t>municipal code</w:t>
      </w:r>
      <w:r w:rsidRPr="009525EE">
        <w:t xml:space="preserve"> to determine </w:t>
      </w:r>
      <w:r>
        <w:t>whether revisions to the code may be necessary to include this measurable definition in your ordinance</w:t>
      </w:r>
      <w:r w:rsidRPr="009525EE">
        <w:t>.</w:t>
      </w:r>
    </w:p>
    <w:p w14:paraId="16ABB245" w14:textId="77777777" w:rsidR="00615A6D" w:rsidRPr="009525EE" w:rsidRDefault="00615A6D" w:rsidP="00615A6D">
      <w:pPr>
        <w:pStyle w:val="LevelA"/>
        <w:widowControl/>
      </w:pPr>
    </w:p>
    <w:p w14:paraId="53E2B5AA" w14:textId="77777777" w:rsidR="00615A6D" w:rsidRPr="009525EE" w:rsidRDefault="00615A6D" w:rsidP="00615A6D">
      <w:pPr>
        <w:pStyle w:val="bullets-abc"/>
        <w:widowControl/>
      </w:pPr>
      <w:r w:rsidRPr="009525EE">
        <w:t>(</w:t>
      </w:r>
      <w:r w:rsidR="0078056F">
        <w:t>n</w:t>
      </w:r>
      <w:r w:rsidRPr="009525EE">
        <w:t>)</w:t>
      </w:r>
      <w:r w:rsidRPr="009525EE">
        <w:tab/>
        <w:t xml:space="preserve">“Recreational Area” means any area [ </w:t>
      </w:r>
      <w:r w:rsidRPr="009525EE">
        <w:rPr>
          <w:u w:val="single"/>
        </w:rPr>
        <w:t>, including streets and sidewalks,</w:t>
      </w:r>
      <w:r w:rsidRPr="009525EE">
        <w:t xml:space="preserve"> ] that is [ </w:t>
      </w:r>
      <w:r w:rsidRPr="009525EE">
        <w:rPr>
          <w:u w:val="single"/>
        </w:rPr>
        <w:t>publicly or privately owned</w:t>
      </w:r>
      <w:r w:rsidRPr="009525EE">
        <w:t xml:space="preserve"> / </w:t>
      </w:r>
      <w:r w:rsidRPr="009525EE">
        <w:rPr>
          <w:iCs/>
          <w:u w:val="double"/>
        </w:rPr>
        <w:t>owned, controlled</w:t>
      </w:r>
      <w:r w:rsidR="00C44197">
        <w:rPr>
          <w:iCs/>
          <w:u w:val="double"/>
        </w:rPr>
        <w:t>,</w:t>
      </w:r>
      <w:r w:rsidRPr="009525EE">
        <w:rPr>
          <w:iCs/>
          <w:u w:val="double"/>
        </w:rPr>
        <w:t xml:space="preserve"> or used by the</w:t>
      </w:r>
      <w:r w:rsidRPr="009525EE">
        <w:rPr>
          <w:iCs/>
        </w:rPr>
        <w:t xml:space="preserve"> [ </w:t>
      </w:r>
      <w:r w:rsidRPr="009525EE">
        <w:rPr>
          <w:iCs/>
          <w:u w:val="single"/>
        </w:rPr>
        <w:t>City</w:t>
      </w:r>
      <w:r w:rsidRPr="009525EE">
        <w:rPr>
          <w:iCs/>
        </w:rPr>
        <w:t xml:space="preserve"> / </w:t>
      </w:r>
      <w:r w:rsidRPr="009525EE">
        <w:rPr>
          <w:iCs/>
          <w:u w:val="double"/>
        </w:rPr>
        <w:t>County of</w:t>
      </w:r>
      <w:r w:rsidRPr="009525EE">
        <w:rPr>
          <w:iCs/>
        </w:rPr>
        <w:t xml:space="preserve"> </w:t>
      </w:r>
      <w:r w:rsidRPr="009525EE">
        <w:rPr>
          <w:u w:val="single"/>
        </w:rPr>
        <w:t>______</w:t>
      </w:r>
      <w:r>
        <w:t xml:space="preserve"> </w:t>
      </w:r>
      <w:r w:rsidRPr="009525EE">
        <w:t xml:space="preserve">] and open to the general public for recreational purposes, regardless of any fee </w:t>
      </w:r>
      <w:r w:rsidRPr="009525EE">
        <w:lastRenderedPageBreak/>
        <w:t>or age requirement. The term “Recreational Area” includes</w:t>
      </w:r>
      <w:r w:rsidR="000F76A4">
        <w:t>,</w:t>
      </w:r>
      <w:r w:rsidRPr="009525EE">
        <w:t xml:space="preserve"> but is not limited to</w:t>
      </w:r>
      <w:r w:rsidR="000F76A4">
        <w:t>,</w:t>
      </w:r>
      <w:r w:rsidRPr="009525EE">
        <w:t xml:space="preserve"> parks, picnic areas, playgrounds, sports fields, golf courses, walking paths, gardens, hiking trails, bike paths, riding trails, swimming pools, roller- and ice-skating rinks, skateboard parks, amusement parks, and beaches.</w:t>
      </w:r>
    </w:p>
    <w:p w14:paraId="3B60283B" w14:textId="77777777" w:rsidR="00615A6D" w:rsidRPr="009525EE" w:rsidRDefault="00615A6D" w:rsidP="00615A6D">
      <w:pPr>
        <w:pStyle w:val="LevelA"/>
        <w:widowControl/>
      </w:pPr>
    </w:p>
    <w:p w14:paraId="72F4215E" w14:textId="77777777" w:rsidR="00615A6D" w:rsidRPr="009525EE" w:rsidRDefault="00615A6D" w:rsidP="00824922">
      <w:pPr>
        <w:pStyle w:val="commentsbox"/>
        <w:ind w:left="720"/>
      </w:pPr>
      <w:r w:rsidRPr="009525EE">
        <w:rPr>
          <w:b/>
          <w:caps/>
        </w:rPr>
        <w:t>comment</w:t>
      </w:r>
      <w:r w:rsidRPr="009525EE">
        <w:rPr>
          <w:b/>
          <w:smallCaps/>
        </w:rPr>
        <w:t xml:space="preserve">: </w:t>
      </w:r>
      <w:r w:rsidRPr="009525EE">
        <w:t>Th</w:t>
      </w:r>
      <w:r>
        <w:t xml:space="preserve">is definition can apply to all </w:t>
      </w:r>
      <w:r w:rsidRPr="009525EE">
        <w:t xml:space="preserve">recreational areas that are open to the general public, whether on public or private land. If the community wants to limit the reach of the ordinance to include only publicly owned or operated recreational facilities, then </w:t>
      </w:r>
      <w:r>
        <w:t xml:space="preserve">it should </w:t>
      </w:r>
      <w:r w:rsidRPr="009525EE">
        <w:t>select the phrase “</w:t>
      </w:r>
      <w:r w:rsidRPr="009525EE">
        <w:rPr>
          <w:i/>
          <w:iCs/>
        </w:rPr>
        <w:t xml:space="preserve">owned, controlled or used by the City / County of </w:t>
      </w:r>
      <w:r w:rsidRPr="009525EE">
        <w:rPr>
          <w:b/>
        </w:rPr>
        <w:t>____</w:t>
      </w:r>
      <w:r>
        <w:rPr>
          <w:b/>
        </w:rPr>
        <w:t>.</w:t>
      </w:r>
      <w:r w:rsidRPr="009525EE">
        <w:rPr>
          <w:i/>
          <w:iCs/>
        </w:rPr>
        <w:t>”</w:t>
      </w:r>
      <w:r w:rsidRPr="009525EE">
        <w:t xml:space="preserve"> </w:t>
      </w:r>
    </w:p>
    <w:p w14:paraId="1AB10D5C" w14:textId="77777777" w:rsidR="00615A6D" w:rsidRPr="009525EE" w:rsidRDefault="00615A6D" w:rsidP="00824922">
      <w:pPr>
        <w:pStyle w:val="commentsbox"/>
        <w:ind w:left="720"/>
      </w:pPr>
    </w:p>
    <w:p w14:paraId="155A3FCB" w14:textId="77777777" w:rsidR="00615A6D" w:rsidRPr="009525EE" w:rsidRDefault="00615A6D" w:rsidP="00824922">
      <w:pPr>
        <w:pStyle w:val="commentsbox"/>
        <w:ind w:left="720"/>
      </w:pPr>
      <w:r w:rsidRPr="009525EE">
        <w:t>This definition can also be expanded to encompass streets and sidewalks that are used as Recreational Areas by adding the optional bracketed language “</w:t>
      </w:r>
      <w:r w:rsidRPr="009525EE">
        <w:rPr>
          <w:i/>
        </w:rPr>
        <w:t>including streets and sidewalks</w:t>
      </w:r>
      <w:r>
        <w:rPr>
          <w:i/>
        </w:rPr>
        <w:t>.</w:t>
      </w:r>
      <w:r w:rsidRPr="009525EE">
        <w:t xml:space="preserve">” </w:t>
      </w:r>
    </w:p>
    <w:p w14:paraId="424DF928" w14:textId="77777777" w:rsidR="00615A6D" w:rsidRPr="009525EE" w:rsidRDefault="00615A6D" w:rsidP="00824922">
      <w:pPr>
        <w:pStyle w:val="commentsbox"/>
        <w:ind w:left="720"/>
      </w:pPr>
    </w:p>
    <w:p w14:paraId="445C4607" w14:textId="77777777" w:rsidR="00615A6D" w:rsidRPr="009525EE" w:rsidRDefault="00615A6D" w:rsidP="00824922">
      <w:pPr>
        <w:pStyle w:val="commentsbox"/>
        <w:ind w:left="720"/>
      </w:pPr>
      <w:r w:rsidRPr="005C029D">
        <w:t xml:space="preserve">This definition includes all Recreational Areas, indoors and out, but </w:t>
      </w:r>
      <w:r w:rsidRPr="000B1FF0">
        <w:t>Section [____(*3)(a)]</w:t>
      </w:r>
      <w:r w:rsidRPr="005C029D">
        <w:t xml:space="preserve"> of this Model Ordinance prohibits Smoking only in outdoor Recreational Areas because the state smokefree workplace law (Labor Code section 6404.5) already prohibits smoking inside places of employment</w:t>
      </w:r>
      <w:r>
        <w:t>. This includes</w:t>
      </w:r>
      <w:r w:rsidRPr="005C029D">
        <w:t xml:space="preserve"> indoor Recreational Areas with employees, such as enclosed roller skating rinks and bowling alleys.</w:t>
      </w:r>
    </w:p>
    <w:p w14:paraId="22F753DC" w14:textId="77777777" w:rsidR="00615A6D" w:rsidRPr="009525EE" w:rsidRDefault="00615A6D" w:rsidP="00615A6D">
      <w:pPr>
        <w:pStyle w:val="LevelA"/>
        <w:widowControl/>
      </w:pPr>
    </w:p>
    <w:p w14:paraId="0558E62F" w14:textId="77777777" w:rsidR="00615A6D" w:rsidRPr="009525EE" w:rsidRDefault="00615A6D" w:rsidP="00615A6D">
      <w:pPr>
        <w:pStyle w:val="bullets-abc"/>
        <w:widowControl/>
      </w:pPr>
      <w:r w:rsidRPr="009525EE">
        <w:t>(</w:t>
      </w:r>
      <w:r w:rsidR="0078056F">
        <w:t>o</w:t>
      </w:r>
      <w:r w:rsidRPr="009525EE">
        <w:t>)</w:t>
      </w:r>
      <w:r w:rsidRPr="009525EE">
        <w:tab/>
        <w:t>“Service Area” means any publicly or privately owned area, including streets and sidewalks, that is designed to be used or is regularly used by one or more Persons to receive a service, wait to receive a service</w:t>
      </w:r>
      <w:r>
        <w:t>,</w:t>
      </w:r>
      <w:r w:rsidRPr="009525EE">
        <w:t xml:space="preserve"> or to make a transaction, whether or not such service or transaction includes the exchange of money. The term “Service Area” includes</w:t>
      </w:r>
      <w:r w:rsidR="000F76A4">
        <w:t>,</w:t>
      </w:r>
      <w:r w:rsidRPr="009525EE">
        <w:t xml:space="preserve"> but is not limited to</w:t>
      </w:r>
      <w:r w:rsidR="000F76A4">
        <w:t>,</w:t>
      </w:r>
      <w:r w:rsidRPr="009525EE">
        <w:t xml:space="preserve"> areas including or adjacent to information kiosks, automatic teller machines (ATMs), ticket lines, bus stops or shelters, mobile vendor lines</w:t>
      </w:r>
      <w:r>
        <w:t>,</w:t>
      </w:r>
      <w:r w:rsidRPr="009525EE">
        <w:t xml:space="preserve"> or cab stands.</w:t>
      </w:r>
    </w:p>
    <w:p w14:paraId="3E834296" w14:textId="77777777" w:rsidR="00615A6D" w:rsidRPr="009525EE" w:rsidRDefault="00615A6D" w:rsidP="00615A6D">
      <w:pPr>
        <w:pStyle w:val="LevelA"/>
        <w:widowControl/>
        <w:rPr>
          <w:smallCaps/>
        </w:rPr>
      </w:pPr>
    </w:p>
    <w:p w14:paraId="4C9E4018" w14:textId="77777777" w:rsidR="00615A6D" w:rsidRPr="009525EE" w:rsidRDefault="00615A6D" w:rsidP="00824922">
      <w:pPr>
        <w:pStyle w:val="commentsbox"/>
        <w:ind w:left="720"/>
      </w:pPr>
      <w:r w:rsidRPr="009525EE">
        <w:rPr>
          <w:b/>
          <w:caps/>
        </w:rPr>
        <w:t>comment</w:t>
      </w:r>
      <w:r w:rsidRPr="004D0A9C">
        <w:rPr>
          <w:b/>
        </w:rPr>
        <w:t xml:space="preserve">: </w:t>
      </w:r>
      <w:r w:rsidRPr="005C029D">
        <w:t xml:space="preserve">This definition includes all Service Areas, indoors and out, but </w:t>
      </w:r>
      <w:r w:rsidRPr="000B1FF0">
        <w:t>Section [____(*3)(a)]</w:t>
      </w:r>
      <w:r w:rsidRPr="005C029D">
        <w:t xml:space="preserve"> of this Model Ordinance prohibits Smoking only in outdoor Service Areas because the state smokefree workplace law already prohibits smoking in indoor Service Areas with employees.</w:t>
      </w:r>
    </w:p>
    <w:p w14:paraId="6E0DBD1F" w14:textId="77777777" w:rsidR="00615A6D" w:rsidRPr="009525EE" w:rsidRDefault="00615A6D" w:rsidP="00615A6D">
      <w:pPr>
        <w:pStyle w:val="LevelA"/>
        <w:widowControl/>
      </w:pPr>
    </w:p>
    <w:p w14:paraId="201D3763" w14:textId="77777777" w:rsidR="00615A6D" w:rsidRDefault="00615A6D" w:rsidP="001C0EBA">
      <w:pPr>
        <w:pStyle w:val="bullets-abc"/>
        <w:widowControl/>
      </w:pPr>
      <w:r w:rsidRPr="0007280C">
        <w:t>(</w:t>
      </w:r>
      <w:r w:rsidR="0078056F">
        <w:t>p</w:t>
      </w:r>
      <w:r w:rsidRPr="0007280C">
        <w:t xml:space="preserve">) </w:t>
      </w:r>
      <w:r w:rsidRPr="0007280C">
        <w:tab/>
        <w:t>“</w:t>
      </w:r>
      <w:r w:rsidRPr="00E31EC1">
        <w:t>Smoke” means the gases, particles, or vapors released into the air as a result of combustion, electrical ignition, or vaporization, when the apparent or usual purpose of the combustion, electrical ignition, or vaporization is human inhalation</w:t>
      </w:r>
      <w:r w:rsidRPr="0007280C">
        <w:t xml:space="preserve"> of the byproducts, except when the combusting or vaporizing material contains no tobacco or nicotine </w:t>
      </w:r>
      <w:r w:rsidRPr="0007280C">
        <w:rPr>
          <w:i/>
        </w:rPr>
        <w:t>and</w:t>
      </w:r>
      <w:r w:rsidRPr="0007280C">
        <w:t xml:space="preserve"> the purpose of inhalation is solely olfactory,</w:t>
      </w:r>
      <w:r w:rsidRPr="0007280C" w:rsidDel="00631093">
        <w:t xml:space="preserve"> </w:t>
      </w:r>
      <w:r w:rsidRPr="0007280C">
        <w:t xml:space="preserve">such as, for example, smoke from incense. The term “Smoke” includes, but is not limited to, tobacco smoke, </w:t>
      </w:r>
      <w:r w:rsidR="000F76A4" w:rsidRPr="000F76A4">
        <w:t>vapors from an electronic device</w:t>
      </w:r>
      <w:r w:rsidRPr="0007280C">
        <w:t xml:space="preserve">, </w:t>
      </w:r>
      <w:r w:rsidR="002A46F8">
        <w:t xml:space="preserve">and </w:t>
      </w:r>
      <w:r w:rsidR="001C0EBA">
        <w:t>C</w:t>
      </w:r>
      <w:r w:rsidR="00E71315">
        <w:t>annabis smoke</w:t>
      </w:r>
      <w:r w:rsidRPr="0007280C">
        <w:t xml:space="preserve">. </w:t>
      </w:r>
    </w:p>
    <w:p w14:paraId="1BE2A4D0" w14:textId="77777777" w:rsidR="000F76A4" w:rsidRDefault="000F76A4" w:rsidP="001C0EBA">
      <w:pPr>
        <w:pStyle w:val="bullets-abc"/>
        <w:widowControl/>
      </w:pPr>
    </w:p>
    <w:p w14:paraId="1297A75E" w14:textId="3DC18DE7" w:rsidR="000F76A4" w:rsidRPr="0007280C" w:rsidRDefault="000F76A4">
      <w:pPr>
        <w:pStyle w:val="commentsbox"/>
        <w:ind w:left="720"/>
      </w:pPr>
      <w:r w:rsidRPr="0007280C">
        <w:rPr>
          <w:b/>
          <w:caps/>
        </w:rPr>
        <w:lastRenderedPageBreak/>
        <w:t>comment</w:t>
      </w:r>
      <w:r w:rsidRPr="0007280C">
        <w:rPr>
          <w:b/>
          <w:smallCaps/>
        </w:rPr>
        <w:t>:</w:t>
      </w:r>
      <w:r w:rsidRPr="0007280C">
        <w:t xml:space="preserve"> </w:t>
      </w:r>
      <w:r w:rsidRPr="000F76A4">
        <w:t>Proposition 64 was a 2016 ballot initiative that legalized the use of Cannabis for persons aged 21 years or older. Like many ballot initiatives, Proposition 64 created ambiguities in its interpretation and implementation. Some interpretations regarding the regulation of Cannabis use at the local level may carry legal risk. Communities should consult with their city attorney or county counsel to determine the best course of action for their jurisdiction. Please contact ChangeLab Solutions for more information about the regulation of Cannabis in local smokefree ordinances.</w:t>
      </w:r>
    </w:p>
    <w:p w14:paraId="1597555C" w14:textId="77777777" w:rsidR="00615A6D" w:rsidRPr="0007280C" w:rsidRDefault="00615A6D" w:rsidP="001A7EB0">
      <w:pPr>
        <w:pStyle w:val="LevelA"/>
        <w:widowControl/>
        <w:ind w:left="0" w:firstLine="0"/>
      </w:pPr>
    </w:p>
    <w:p w14:paraId="69B27533" w14:textId="77777777" w:rsidR="00615A6D" w:rsidRPr="0007280C" w:rsidRDefault="00615A6D" w:rsidP="00824922">
      <w:pPr>
        <w:pStyle w:val="commentsbox"/>
        <w:ind w:left="720"/>
      </w:pPr>
      <w:r w:rsidRPr="0007280C">
        <w:rPr>
          <w:b/>
          <w:caps/>
        </w:rPr>
        <w:t>comment</w:t>
      </w:r>
      <w:r w:rsidRPr="0007280C">
        <w:rPr>
          <w:b/>
          <w:smallCaps/>
        </w:rPr>
        <w:t>:</w:t>
      </w:r>
      <w:r w:rsidRPr="0007280C">
        <w:t xml:space="preserve"> This is a special definition that differs from the common understanding of what “smoke” is. For example, smoke from a fireplace or a barbe</w:t>
      </w:r>
      <w:r>
        <w:t>c</w:t>
      </w:r>
      <w:r w:rsidRPr="0007280C">
        <w:t>ue grill is not “Smoke” for the purposes of this ordinance because the smoke generated by those activities is not produced for the purpose of</w:t>
      </w:r>
      <w:r>
        <w:t xml:space="preserve"> inhalation.</w:t>
      </w:r>
      <w:r w:rsidR="00BD7973">
        <w:t xml:space="preserve"> </w:t>
      </w:r>
      <w:r w:rsidRPr="0007280C">
        <w:t xml:space="preserve">The limitation placed on “Smoke” by this definition is important to </w:t>
      </w:r>
      <w:r>
        <w:t>prevent</w:t>
      </w:r>
      <w:r w:rsidRPr="0007280C">
        <w:t xml:space="preserve"> unintended consequences, such as inadvertently prohibiting the burning of incense or use of barbe</w:t>
      </w:r>
      <w:r>
        <w:t>c</w:t>
      </w:r>
      <w:r w:rsidRPr="0007280C">
        <w:t xml:space="preserve">ue grills. </w:t>
      </w:r>
    </w:p>
    <w:p w14:paraId="7E470A01" w14:textId="77777777" w:rsidR="00615A6D" w:rsidRPr="0007280C" w:rsidRDefault="00615A6D" w:rsidP="00824922">
      <w:pPr>
        <w:pStyle w:val="commentsbox"/>
        <w:ind w:left="720"/>
      </w:pPr>
    </w:p>
    <w:p w14:paraId="6E4C3026" w14:textId="456DB51A" w:rsidR="005C637D" w:rsidRDefault="00615A6D">
      <w:pPr>
        <w:pStyle w:val="commentsbox"/>
        <w:ind w:left="720"/>
      </w:pPr>
      <w:r w:rsidRPr="0007280C">
        <w:t xml:space="preserve">At the same time, this definition is designed to be broad enough to cover any emissions released into the air as a result of combustion or heating, so long as the purpose of the combustion or heating is to inhale the byproduct. By clarifying that the term “Smoke” applies </w:t>
      </w:r>
      <w:r>
        <w:t xml:space="preserve">to </w:t>
      </w:r>
      <w:r w:rsidRPr="0007280C">
        <w:t>not just solid particles but also vapor and gas, this definition covers products such as electronic cigarettes, electronic hookahs, etc.</w:t>
      </w:r>
      <w:r w:rsidR="005C637D">
        <w:t xml:space="preserve"> </w:t>
      </w:r>
    </w:p>
    <w:p w14:paraId="7BE0253A" w14:textId="77777777" w:rsidR="000F76A4" w:rsidRDefault="000F76A4" w:rsidP="000F76A4">
      <w:pPr>
        <w:pStyle w:val="bullets-abc"/>
        <w:widowControl/>
      </w:pPr>
    </w:p>
    <w:p w14:paraId="610112FC" w14:textId="5EB8C1B9" w:rsidR="000F76A4" w:rsidRDefault="00615A6D" w:rsidP="000F76A4">
      <w:pPr>
        <w:pStyle w:val="bullets-abc"/>
        <w:widowControl/>
      </w:pPr>
      <w:r w:rsidRPr="0007280C">
        <w:t>(</w:t>
      </w:r>
      <w:r w:rsidR="0078056F">
        <w:t>q</w:t>
      </w:r>
      <w:r w:rsidRPr="0007280C">
        <w:t>)</w:t>
      </w:r>
      <w:r w:rsidRPr="0007280C">
        <w:tab/>
      </w:r>
      <w:r w:rsidR="00F257DB" w:rsidRPr="00F257DB">
        <w:t>“Smoking” means inhaling, exhaling, burning, or carrying any lighted, heated, or ignited cigar, cigarette, cigarillo, pipe, hookah, electronic device, or any other device that delivers nicotine or other substances to a person.</w:t>
      </w:r>
    </w:p>
    <w:p w14:paraId="01424390" w14:textId="77777777" w:rsidR="000F76A4" w:rsidRDefault="000F76A4" w:rsidP="004D3468">
      <w:pPr>
        <w:pStyle w:val="LevelA"/>
        <w:widowControl/>
      </w:pPr>
    </w:p>
    <w:p w14:paraId="6626A202" w14:textId="1CC98CA6" w:rsidR="00B05B50" w:rsidRDefault="00615A6D" w:rsidP="00615A6D">
      <w:pPr>
        <w:pStyle w:val="bullets-abc"/>
      </w:pPr>
      <w:r w:rsidRPr="0007280C">
        <w:t>(</w:t>
      </w:r>
      <w:r w:rsidR="0078056F">
        <w:t>r</w:t>
      </w:r>
      <w:r w:rsidRPr="0007280C">
        <w:t>)</w:t>
      </w:r>
      <w:r w:rsidRPr="0007280C">
        <w:tab/>
      </w:r>
      <w:r>
        <w:t>“Tobacco Product” means</w:t>
      </w:r>
    </w:p>
    <w:p w14:paraId="7322177E" w14:textId="77777777" w:rsidR="00615A6D" w:rsidRDefault="00615A6D" w:rsidP="00615A6D">
      <w:pPr>
        <w:pStyle w:val="bullets-abc"/>
      </w:pPr>
    </w:p>
    <w:p w14:paraId="7DEC303C" w14:textId="77777777" w:rsidR="00B05B50" w:rsidRDefault="00615A6D" w:rsidP="00B05B50">
      <w:pPr>
        <w:pStyle w:val="bullets-123"/>
      </w:pPr>
      <w:r>
        <w:t>(1)</w:t>
      </w:r>
      <w:r>
        <w:tab/>
        <w:t>any product containing, made, or derived from tobacco or nicotine that is intended for human consumption, whether Smoked, heated, chewed, absorbed, dissolved, inhaled, snorted, sniffed, or ingested by any other means, including, but not limited to cigarettes, cigars, little cigars, chewing tobacco, pipe tobacco, snuff; and</w:t>
      </w:r>
    </w:p>
    <w:p w14:paraId="69036A8D" w14:textId="77777777" w:rsidR="00615A6D" w:rsidRDefault="00615A6D" w:rsidP="00B05B50">
      <w:pPr>
        <w:pStyle w:val="bullets-123"/>
      </w:pPr>
    </w:p>
    <w:p w14:paraId="431B8DB2" w14:textId="77777777" w:rsidR="00B05B50" w:rsidRDefault="00615A6D" w:rsidP="00B05B50">
      <w:pPr>
        <w:pStyle w:val="bullets-123"/>
      </w:pPr>
      <w:r>
        <w:t>(2)</w:t>
      </w:r>
      <w:r>
        <w:tab/>
      </w:r>
      <w:r w:rsidR="0078056F" w:rsidRPr="00E972D7">
        <w:t>any electronic device that delivers nicotine or other substances to the person inhaling from the device, including, but not limited to, an electronic cigarette, electronic cigar, electronic pipe, or electronic hookah. </w:t>
      </w:r>
    </w:p>
    <w:p w14:paraId="1317C3C7" w14:textId="77777777" w:rsidR="00615A6D" w:rsidRDefault="00615A6D" w:rsidP="00B05B50">
      <w:pPr>
        <w:pStyle w:val="bullets-123"/>
      </w:pPr>
    </w:p>
    <w:p w14:paraId="11BE622B" w14:textId="04BAE287" w:rsidR="005766AE" w:rsidRDefault="00615A6D" w:rsidP="00A309BA">
      <w:pPr>
        <w:pStyle w:val="bullets-123"/>
        <w:ind w:left="720" w:firstLine="0"/>
      </w:pPr>
      <w:r>
        <w:t xml:space="preserve">Notwithstanding any provision of subsections (1) and (2) to the contrary, “Tobacco Product” includes any component, part, or accessory </w:t>
      </w:r>
      <w:r w:rsidR="00E972D7">
        <w:t xml:space="preserve">intended or reasonably expected to be used with </w:t>
      </w:r>
      <w:r>
        <w:t xml:space="preserve">a Tobacco Product, whether or not sold separately. “Tobacco Product” does not include </w:t>
      </w:r>
      <w:r w:rsidR="00E972D7">
        <w:t xml:space="preserve">drugs, devices, or combination products authorized for sale </w:t>
      </w:r>
      <w:r>
        <w:t>by the United States Food and Drug Administration</w:t>
      </w:r>
      <w:r w:rsidR="00E972D7">
        <w:t>, as those terms are defined in the Federal Food, Drug, and Cosmetic Act</w:t>
      </w:r>
      <w:r>
        <w:t>.</w:t>
      </w:r>
    </w:p>
    <w:p w14:paraId="4FC8B9ED" w14:textId="77777777" w:rsidR="00615A6D" w:rsidRPr="0007280C" w:rsidRDefault="00615A6D" w:rsidP="00615A6D">
      <w:pPr>
        <w:pStyle w:val="LevelA"/>
        <w:widowControl/>
      </w:pPr>
    </w:p>
    <w:p w14:paraId="62919CAD" w14:textId="77777777" w:rsidR="00615A6D" w:rsidRPr="009525EE" w:rsidRDefault="00615A6D" w:rsidP="001A7EB0">
      <w:pPr>
        <w:pStyle w:val="commentsbox"/>
        <w:ind w:left="720"/>
      </w:pPr>
      <w:r w:rsidRPr="0007280C">
        <w:rPr>
          <w:b/>
          <w:caps/>
        </w:rPr>
        <w:t>comment</w:t>
      </w:r>
      <w:r w:rsidRPr="0007280C">
        <w:rPr>
          <w:b/>
          <w:smallCaps/>
        </w:rPr>
        <w:t xml:space="preserve">: </w:t>
      </w:r>
      <w:r w:rsidRPr="0007280C">
        <w:t xml:space="preserve">This definition is written broadly to include </w:t>
      </w:r>
      <w:r>
        <w:t>nonconventional</w:t>
      </w:r>
      <w:r w:rsidRPr="0007280C">
        <w:t xml:space="preserve"> tobacco and nicotine products</w:t>
      </w:r>
      <w:r>
        <w:t>,</w:t>
      </w:r>
      <w:r w:rsidRPr="0007280C">
        <w:t xml:space="preserve"> such as </w:t>
      </w:r>
      <w:r w:rsidR="00BC7CA6">
        <w:t>e</w:t>
      </w:r>
      <w:r w:rsidRPr="0007280C">
        <w:t xml:space="preserve">lectronic </w:t>
      </w:r>
      <w:r w:rsidR="00BC7CA6">
        <w:t>s</w:t>
      </w:r>
      <w:r w:rsidRPr="0007280C">
        <w:t xml:space="preserve">moking </w:t>
      </w:r>
      <w:r w:rsidR="00BC7CA6">
        <w:t>d</w:t>
      </w:r>
      <w:r w:rsidRPr="0007280C">
        <w:t xml:space="preserve">evices, nicotine gel, and nicotine lollipops, but without interfering with the FDA’s mission of approving </w:t>
      </w:r>
      <w:r w:rsidR="00B154B0">
        <w:t xml:space="preserve">safe and effective medical </w:t>
      </w:r>
      <w:r w:rsidRPr="0007280C">
        <w:t>products, such as nicotine patches and other nicotine cessation products.</w:t>
      </w:r>
    </w:p>
    <w:p w14:paraId="0734820D" w14:textId="77777777" w:rsidR="00615A6D" w:rsidRPr="009525EE" w:rsidRDefault="00615A6D" w:rsidP="00615A6D">
      <w:pPr>
        <w:pStyle w:val="LevelA"/>
        <w:widowControl/>
      </w:pPr>
    </w:p>
    <w:p w14:paraId="046DE11A" w14:textId="77777777" w:rsidR="00615A6D" w:rsidRPr="009525EE" w:rsidRDefault="00615A6D" w:rsidP="00615A6D">
      <w:pPr>
        <w:pStyle w:val="bullets-abc"/>
        <w:widowControl/>
      </w:pPr>
      <w:r w:rsidRPr="009525EE">
        <w:t>(</w:t>
      </w:r>
      <w:r w:rsidR="0078056F">
        <w:t>s</w:t>
      </w:r>
      <w:r w:rsidRPr="009525EE">
        <w:t>)</w:t>
      </w:r>
      <w:r w:rsidRPr="009525EE">
        <w:tab/>
        <w:t>“Unenclosed Area” means any area that is not an Enclosed Area.</w:t>
      </w:r>
    </w:p>
    <w:p w14:paraId="066154A7" w14:textId="77777777" w:rsidR="00615A6D" w:rsidRPr="009525EE" w:rsidRDefault="00615A6D" w:rsidP="00615A6D">
      <w:pPr>
        <w:pStyle w:val="LevelA"/>
        <w:widowControl/>
      </w:pPr>
    </w:p>
    <w:p w14:paraId="5EF9329A"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definition establishes the scope of the ordinance very broadly, and includes all areas that are not defined as Enclosed Areas.</w:t>
      </w:r>
    </w:p>
    <w:p w14:paraId="19173708" w14:textId="77777777" w:rsidR="00615A6D" w:rsidRPr="009525EE" w:rsidRDefault="00615A6D" w:rsidP="00615A6D">
      <w:pPr>
        <w:pStyle w:val="LevelA"/>
        <w:widowControl/>
      </w:pPr>
    </w:p>
    <w:p w14:paraId="2AA6F5C4" w14:textId="77777777" w:rsidR="00615A6D" w:rsidRPr="009525EE" w:rsidRDefault="00615A6D" w:rsidP="00615A6D">
      <w:pPr>
        <w:pStyle w:val="bullets-abc"/>
        <w:widowControl/>
      </w:pPr>
      <w:r w:rsidRPr="009525EE">
        <w:t>(</w:t>
      </w:r>
      <w:r w:rsidR="0078056F">
        <w:t>t</w:t>
      </w:r>
      <w:r w:rsidRPr="009525EE">
        <w:t xml:space="preserve">) </w:t>
      </w:r>
      <w:r w:rsidRPr="00824922">
        <w:rPr>
          <w:spacing w:val="-4"/>
        </w:rPr>
        <w:tab/>
        <w:t>“Unit” means a personal dwelling space, even where lacking cooking facilities or private plumbing facilities, and includes any associated exclusive-use Enclosed Area or Unenclosed Area, such as, for example, a private balcony, porch, deck, or patio. “Unit” includes but is not limited to an apartment; a condominium; a townhouse; a room in a long-term health care facility, assisted living facility, or hospital; a hotel or motel room; a room in a single room occupancy (“SRO”) facility; a room in a homeless shelter; a mobile home; a camper vehicle or tent; a single-family home; and an in-law or second unit.</w:t>
      </w:r>
    </w:p>
    <w:p w14:paraId="622F1B18" w14:textId="77777777" w:rsidR="00615A6D" w:rsidRPr="009525EE" w:rsidRDefault="00615A6D" w:rsidP="00615A6D">
      <w:pPr>
        <w:pStyle w:val="LevelA"/>
        <w:widowControl/>
        <w:ind w:left="720" w:firstLine="0"/>
      </w:pPr>
    </w:p>
    <w:p w14:paraId="442F5F14" w14:textId="77777777" w:rsidR="00615A6D" w:rsidRPr="009525EE" w:rsidRDefault="00615A6D" w:rsidP="00824922">
      <w:pPr>
        <w:pStyle w:val="commentsbox"/>
        <w:ind w:left="720"/>
        <w:rPr>
          <w:bCs/>
          <w:i/>
          <w:iCs/>
        </w:rPr>
      </w:pPr>
      <w:r w:rsidRPr="009525EE">
        <w:rPr>
          <w:b/>
          <w:caps/>
        </w:rPr>
        <w:t>comment</w:t>
      </w:r>
      <w:r w:rsidRPr="009525EE">
        <w:rPr>
          <w:b/>
          <w:smallCaps/>
        </w:rPr>
        <w:t>:</w:t>
      </w:r>
      <w:r w:rsidRPr="009525EE">
        <w:t xml:space="preserve"> This definition is intentionally extremely broad. It is designed to capture all conceivable “dwelling spaces” as the examples illustrate. However, </w:t>
      </w:r>
      <w:r>
        <w:t>due to the design of this model ordinance</w:t>
      </w:r>
      <w:r w:rsidRPr="009525EE">
        <w:t>, any limitations on the types of housing covered by the ordinance should be added to the defined term “</w:t>
      </w:r>
      <w:r w:rsidR="002B5041">
        <w:t>Multiunit</w:t>
      </w:r>
      <w:r w:rsidRPr="009525EE">
        <w:t xml:space="preserve"> Residence” and </w:t>
      </w:r>
      <w:r w:rsidR="002A46F8" w:rsidRPr="002A46F8">
        <w:rPr>
          <w:i/>
        </w:rPr>
        <w:t>not to the definition of “Unit.”</w:t>
      </w:r>
      <w:r w:rsidRPr="009525EE">
        <w:t xml:space="preserve"> For example, some “mobile homes” in mobile home parks may be included in this definition and even cited in the examples, but nevertheless, “mobile homes” can be specifically excluded from the ordinance under the definition of “</w:t>
      </w:r>
      <w:r w:rsidR="002B5041">
        <w:t>Multiunit</w:t>
      </w:r>
      <w:r w:rsidRPr="009525EE">
        <w:t xml:space="preserve"> Residence.”</w:t>
      </w:r>
    </w:p>
    <w:p w14:paraId="685F69AA" w14:textId="77777777" w:rsidR="00615A6D" w:rsidRDefault="00615A6D" w:rsidP="00615A6D">
      <w:pPr>
        <w:pStyle w:val="Center"/>
        <w:widowControl/>
        <w:tabs>
          <w:tab w:val="clear" w:pos="1080"/>
          <w:tab w:val="clear" w:pos="1440"/>
        </w:tabs>
        <w:ind w:left="1080"/>
        <w:jc w:val="left"/>
        <w:rPr>
          <w:color w:val="000000"/>
        </w:rPr>
      </w:pPr>
    </w:p>
    <w:p w14:paraId="2F659213" w14:textId="77777777" w:rsidR="00CC0802" w:rsidRPr="00D14738" w:rsidRDefault="00CC0802" w:rsidP="00615A6D">
      <w:pPr>
        <w:pStyle w:val="Center"/>
        <w:widowControl/>
        <w:tabs>
          <w:tab w:val="clear" w:pos="1080"/>
          <w:tab w:val="clear" w:pos="1440"/>
        </w:tabs>
        <w:ind w:left="1080"/>
        <w:jc w:val="left"/>
        <w:rPr>
          <w:color w:val="000000"/>
        </w:rPr>
      </w:pPr>
    </w:p>
    <w:p w14:paraId="66A1AB48" w14:textId="77777777" w:rsidR="00615A6D" w:rsidRPr="00B05B50" w:rsidRDefault="00615A6D" w:rsidP="00B05B50">
      <w:pPr>
        <w:pStyle w:val="BasicParagraph"/>
        <w:rPr>
          <w:b/>
        </w:rPr>
      </w:pPr>
      <w:r w:rsidRPr="00B05B50">
        <w:rPr>
          <w:b/>
        </w:rPr>
        <w:t xml:space="preserve">Sec. [ ____ (*2) ]. PROHIBITION OF SMOKING [ </w:t>
      </w:r>
      <w:r w:rsidR="004629F1" w:rsidRPr="005A6F8C">
        <w:rPr>
          <w:b/>
          <w:u w:val="single"/>
        </w:rPr>
        <w:t>AND TOBACCO PRODUCT USE</w:t>
      </w:r>
      <w:r w:rsidRPr="00B05B50">
        <w:rPr>
          <w:b/>
        </w:rPr>
        <w:t xml:space="preserve"> ] IN ENCLOSED </w:t>
      </w:r>
      <w:r w:rsidR="005D3C12">
        <w:rPr>
          <w:b/>
        </w:rPr>
        <w:t>AREAS</w:t>
      </w:r>
      <w:r w:rsidR="005766AE">
        <w:rPr>
          <w:b/>
        </w:rPr>
        <w:t>.</w:t>
      </w:r>
      <w:r w:rsidRPr="00B05B50">
        <w:rPr>
          <w:b/>
        </w:rPr>
        <w:t xml:space="preserve"> </w:t>
      </w:r>
    </w:p>
    <w:p w14:paraId="6334D4D4" w14:textId="77777777" w:rsidR="00615A6D" w:rsidRPr="009525EE" w:rsidRDefault="00615A6D" w:rsidP="00615A6D">
      <w:pPr>
        <w:pStyle w:val="LevelA"/>
        <w:widowControl/>
      </w:pPr>
    </w:p>
    <w:p w14:paraId="7CD5A387" w14:textId="77777777" w:rsidR="00615A6D" w:rsidRPr="009525EE" w:rsidRDefault="00615A6D" w:rsidP="00615A6D">
      <w:pPr>
        <w:pStyle w:val="bullets-abc"/>
        <w:widowControl/>
      </w:pPr>
      <w:r w:rsidRPr="009525EE">
        <w:t>(a)</w:t>
      </w:r>
      <w:r w:rsidRPr="009525EE">
        <w:tab/>
      </w:r>
      <w:r w:rsidRPr="00110187">
        <w:rPr>
          <w:shd w:val="clear" w:color="auto" w:fill="FFFFFF"/>
        </w:rPr>
        <w:t>Smoking</w:t>
      </w:r>
      <w:r>
        <w:rPr>
          <w:shd w:val="clear" w:color="auto" w:fill="FFFFFF"/>
        </w:rPr>
        <w:t xml:space="preserve"> </w:t>
      </w:r>
      <w:r w:rsidRPr="00110187">
        <w:rPr>
          <w:shd w:val="clear" w:color="auto" w:fill="FFFFFF"/>
        </w:rPr>
        <w:t xml:space="preserve">[ </w:t>
      </w:r>
      <w:r w:rsidR="004629F1" w:rsidRPr="005A6F8C">
        <w:rPr>
          <w:u w:val="single"/>
          <w:shd w:val="clear" w:color="auto" w:fill="FFFFFF"/>
        </w:rPr>
        <w:t>and the use of Tobacco Products</w:t>
      </w:r>
      <w:r w:rsidRPr="00110187">
        <w:rPr>
          <w:shd w:val="clear" w:color="auto" w:fill="FFFFFF"/>
        </w:rPr>
        <w:t xml:space="preserve"> ] is prohibited in the Enclosed Areas of the following places within the [ </w:t>
      </w:r>
      <w:r w:rsidRPr="00110187">
        <w:rPr>
          <w:u w:val="single"/>
          <w:shd w:val="clear" w:color="auto" w:fill="FFFFFF"/>
        </w:rPr>
        <w:t>City</w:t>
      </w:r>
      <w:r w:rsidRPr="00110187">
        <w:rPr>
          <w:shd w:val="clear" w:color="auto" w:fill="FFFFFF"/>
        </w:rPr>
        <w:t xml:space="preserve"> / </w:t>
      </w:r>
      <w:r w:rsidRPr="00110187">
        <w:rPr>
          <w:u w:val="double"/>
          <w:shd w:val="clear" w:color="auto" w:fill="FFFFFF"/>
        </w:rPr>
        <w:t>County of</w:t>
      </w:r>
      <w:r w:rsidRPr="00110187">
        <w:rPr>
          <w:shd w:val="clear" w:color="auto" w:fill="FFFFFF"/>
        </w:rPr>
        <w:t xml:space="preserve"> </w:t>
      </w:r>
      <w:r w:rsidRPr="00110187">
        <w:rPr>
          <w:b/>
          <w:shd w:val="clear" w:color="auto" w:fill="FFFFFF"/>
        </w:rPr>
        <w:t>____</w:t>
      </w:r>
      <w:r>
        <w:rPr>
          <w:shd w:val="clear" w:color="auto" w:fill="FFFFFF"/>
        </w:rPr>
        <w:t> ]</w:t>
      </w:r>
      <w:r w:rsidRPr="00110187">
        <w:rPr>
          <w:shd w:val="clear" w:color="auto" w:fill="FFFFFF"/>
        </w:rPr>
        <w:t>:</w:t>
      </w:r>
    </w:p>
    <w:p w14:paraId="2AEF5C11" w14:textId="77777777" w:rsidR="00615A6D" w:rsidRPr="009525EE" w:rsidRDefault="00615A6D" w:rsidP="00615A6D">
      <w:pPr>
        <w:pStyle w:val="LevelA"/>
        <w:widowControl/>
        <w:ind w:left="0" w:firstLine="0"/>
        <w:rPr>
          <w:color w:val="000000"/>
        </w:rPr>
      </w:pPr>
    </w:p>
    <w:p w14:paraId="3BABD2EA" w14:textId="77777777" w:rsidR="00615A6D" w:rsidRPr="00110187" w:rsidRDefault="00615A6D" w:rsidP="00824922">
      <w:pPr>
        <w:pStyle w:val="commentsbox"/>
        <w:ind w:left="720"/>
      </w:pPr>
      <w:r w:rsidRPr="009525EE">
        <w:rPr>
          <w:b/>
          <w:caps/>
        </w:rPr>
        <w:t>comment</w:t>
      </w:r>
      <w:r w:rsidRPr="009525EE">
        <w:rPr>
          <w:b/>
          <w:smallCaps/>
        </w:rPr>
        <w:t>:</w:t>
      </w:r>
      <w:r w:rsidRPr="009525EE">
        <w:t xml:space="preserve"> This provision </w:t>
      </w:r>
      <w:r>
        <w:t xml:space="preserve">prohibits Smoking (which is defined to include the use of both combustible Tobacco Products and </w:t>
      </w:r>
      <w:r w:rsidR="00BC7CA6">
        <w:t>e</w:t>
      </w:r>
      <w:r>
        <w:t xml:space="preserve">lectronic </w:t>
      </w:r>
      <w:r w:rsidR="00BC7CA6">
        <w:t>s</w:t>
      </w:r>
      <w:r>
        <w:t xml:space="preserve">moking </w:t>
      </w:r>
      <w:r w:rsidR="00BC7CA6">
        <w:t>d</w:t>
      </w:r>
      <w:r>
        <w:t xml:space="preserve">evices) in </w:t>
      </w:r>
      <w:r w:rsidRPr="009525EE">
        <w:t xml:space="preserve">all </w:t>
      </w:r>
      <w:r>
        <w:t>Enclosed Areas</w:t>
      </w:r>
      <w:r w:rsidRPr="009525EE">
        <w:t>.</w:t>
      </w:r>
      <w:r>
        <w:t xml:space="preserve"> The optional language would also prohibit the use of non-combustible Tobacco Products, such as snus and chewing tobacco, in those same places, making the Enclosed Areas entirely tobacco-free. </w:t>
      </w:r>
    </w:p>
    <w:p w14:paraId="49C73393" w14:textId="77777777" w:rsidR="00615A6D" w:rsidRPr="009525EE" w:rsidRDefault="00615A6D" w:rsidP="00615A6D">
      <w:pPr>
        <w:pStyle w:val="LevelA"/>
        <w:widowControl/>
        <w:ind w:left="0" w:firstLine="0"/>
      </w:pPr>
    </w:p>
    <w:p w14:paraId="7A125CB3" w14:textId="77777777" w:rsidR="00615A6D" w:rsidRPr="009525EE" w:rsidRDefault="00615A6D" w:rsidP="001A7EB0">
      <w:pPr>
        <w:pStyle w:val="bullets-123"/>
        <w:spacing w:line="240" w:lineRule="auto"/>
      </w:pPr>
      <w:r w:rsidRPr="009525EE">
        <w:t>(1</w:t>
      </w:r>
      <w:r w:rsidRPr="002E18B9">
        <w:t xml:space="preserve">) </w:t>
      </w:r>
      <w:r w:rsidRPr="002E18B9">
        <w:tab/>
        <w:t>Places of Employment;</w:t>
      </w:r>
    </w:p>
    <w:p w14:paraId="2D7B381D" w14:textId="77777777" w:rsidR="00615A6D" w:rsidRPr="009525EE" w:rsidRDefault="00615A6D" w:rsidP="004023B3">
      <w:pPr>
        <w:pStyle w:val="LevelB"/>
        <w:widowControl/>
        <w:ind w:left="0" w:firstLine="0"/>
      </w:pPr>
    </w:p>
    <w:p w14:paraId="23E07ADA" w14:textId="7B258CD9" w:rsidR="00902748" w:rsidRPr="009525EE" w:rsidRDefault="00615A6D" w:rsidP="001A7EB0">
      <w:pPr>
        <w:pStyle w:val="bullets-123"/>
        <w:spacing w:line="240" w:lineRule="auto"/>
      </w:pPr>
      <w:r w:rsidRPr="009525EE">
        <w:lastRenderedPageBreak/>
        <w:t>(</w:t>
      </w:r>
      <w:r w:rsidR="002E18B9">
        <w:t>2</w:t>
      </w:r>
      <w:r w:rsidRPr="009525EE">
        <w:t>) Public Places; and</w:t>
      </w:r>
    </w:p>
    <w:p w14:paraId="712B7595" w14:textId="77777777" w:rsidR="00615A6D" w:rsidRPr="009525EE" w:rsidRDefault="00615A6D" w:rsidP="001A7EB0">
      <w:pPr>
        <w:pStyle w:val="bullets-123"/>
        <w:spacing w:line="240" w:lineRule="auto"/>
      </w:pPr>
    </w:p>
    <w:p w14:paraId="2B4ACCA4" w14:textId="77777777" w:rsidR="00615A6D" w:rsidRPr="009525EE" w:rsidRDefault="00615A6D" w:rsidP="001A7EB0">
      <w:pPr>
        <w:pStyle w:val="bullets-123"/>
        <w:spacing w:line="240" w:lineRule="auto"/>
      </w:pPr>
      <w:r w:rsidRPr="009525EE">
        <w:t>(</w:t>
      </w:r>
      <w:r w:rsidR="002E18B9">
        <w:t>3</w:t>
      </w:r>
      <w:r w:rsidRPr="009525EE">
        <w:t xml:space="preserve">) Common Areas of </w:t>
      </w:r>
      <w:r w:rsidR="002B5041">
        <w:t>Multiunit</w:t>
      </w:r>
      <w:r w:rsidRPr="009525EE">
        <w:t xml:space="preserve"> Residences.</w:t>
      </w:r>
    </w:p>
    <w:p w14:paraId="6F997EA0" w14:textId="77777777" w:rsidR="002E18B9" w:rsidRDefault="002E18B9" w:rsidP="00615A6D">
      <w:pPr>
        <w:pStyle w:val="LevelB"/>
        <w:widowControl/>
        <w:tabs>
          <w:tab w:val="clear" w:pos="1440"/>
          <w:tab w:val="left" w:pos="1530"/>
        </w:tabs>
        <w:ind w:left="0" w:firstLine="0"/>
        <w:rPr>
          <w:b/>
          <w:caps/>
        </w:rPr>
      </w:pPr>
    </w:p>
    <w:p w14:paraId="6E9BB22A" w14:textId="77777777" w:rsidR="00615A6D" w:rsidRPr="00902748" w:rsidRDefault="002E18B9" w:rsidP="001A7EB0">
      <w:pPr>
        <w:pStyle w:val="LevelB"/>
        <w:widowControl/>
        <w:pBdr>
          <w:top w:val="single" w:sz="4" w:space="1" w:color="C0C0C0"/>
          <w:left w:val="single" w:sz="4" w:space="4" w:color="C0C0C0"/>
          <w:bottom w:val="single" w:sz="4" w:space="1" w:color="C0C0C0"/>
          <w:right w:val="single" w:sz="4" w:space="4" w:color="C0C0C0"/>
        </w:pBdr>
        <w:shd w:val="clear" w:color="auto" w:fill="E6E6E6"/>
        <w:tabs>
          <w:tab w:val="clear" w:pos="1440"/>
          <w:tab w:val="left" w:pos="1530"/>
        </w:tabs>
        <w:spacing w:line="276" w:lineRule="auto"/>
        <w:ind w:firstLine="0"/>
        <w:rPr>
          <w:rFonts w:ascii="Arial" w:hAnsi="Arial" w:cs="Arial"/>
          <w:sz w:val="20"/>
        </w:rPr>
      </w:pPr>
      <w:r w:rsidRPr="00902748">
        <w:rPr>
          <w:rFonts w:ascii="Arial" w:hAnsi="Arial" w:cs="Arial"/>
          <w:b/>
          <w:caps/>
          <w:sz w:val="20"/>
        </w:rPr>
        <w:t>comment</w:t>
      </w:r>
      <w:r w:rsidRPr="00902748">
        <w:rPr>
          <w:rFonts w:ascii="Arial" w:hAnsi="Arial" w:cs="Arial"/>
          <w:b/>
          <w:smallCaps/>
          <w:sz w:val="20"/>
        </w:rPr>
        <w:t>:</w:t>
      </w:r>
      <w:r w:rsidRPr="00902748">
        <w:rPr>
          <w:rFonts w:ascii="Arial" w:hAnsi="Arial" w:cs="Arial"/>
          <w:sz w:val="20"/>
        </w:rPr>
        <w:t xml:space="preserve"> California Labor Code section 6404.5 (the state smokefree workplace law) may already prohibit Smoking in indoor Common Areas if the </w:t>
      </w:r>
      <w:r w:rsidR="002B5041" w:rsidRPr="00902748">
        <w:rPr>
          <w:rFonts w:ascii="Arial" w:hAnsi="Arial" w:cs="Arial"/>
          <w:sz w:val="20"/>
        </w:rPr>
        <w:t>Multiunit</w:t>
      </w:r>
      <w:r w:rsidRPr="00902748">
        <w:rPr>
          <w:rFonts w:ascii="Arial" w:hAnsi="Arial" w:cs="Arial"/>
          <w:sz w:val="20"/>
        </w:rPr>
        <w:t xml:space="preserve"> Residence has Employees, such as maintenance workers, property managers, or others who work on site.</w:t>
      </w:r>
    </w:p>
    <w:p w14:paraId="660EE0C7" w14:textId="77777777" w:rsidR="002E18B9" w:rsidRPr="009525EE" w:rsidRDefault="002E18B9" w:rsidP="002E18B9">
      <w:pPr>
        <w:pStyle w:val="LevelB"/>
        <w:widowControl/>
        <w:tabs>
          <w:tab w:val="clear" w:pos="1440"/>
          <w:tab w:val="left" w:pos="1530"/>
        </w:tabs>
        <w:ind w:left="810" w:firstLine="0"/>
      </w:pPr>
    </w:p>
    <w:p w14:paraId="63D2254E" w14:textId="77777777" w:rsidR="00615A6D" w:rsidRDefault="00615A6D" w:rsidP="00615A6D">
      <w:pPr>
        <w:pStyle w:val="bullets-abc"/>
        <w:widowControl/>
      </w:pPr>
      <w:r w:rsidRPr="009525EE">
        <w:t>(</w:t>
      </w:r>
      <w:r w:rsidRPr="00656793">
        <w:t xml:space="preserve">b) Smoking [ </w:t>
      </w:r>
      <w:r w:rsidR="004629F1" w:rsidRPr="005A6F8C">
        <w:rPr>
          <w:u w:val="single"/>
        </w:rPr>
        <w:t>and the use of Tobacco Products</w:t>
      </w:r>
      <w:r w:rsidRPr="00656793">
        <w:t xml:space="preserve"> ] is prohibited by this [ </w:t>
      </w:r>
      <w:r w:rsidRPr="00656793">
        <w:rPr>
          <w:u w:val="single"/>
        </w:rPr>
        <w:t>article</w:t>
      </w:r>
      <w:r w:rsidRPr="00656793">
        <w:t> / </w:t>
      </w:r>
      <w:r w:rsidRPr="00656793">
        <w:rPr>
          <w:u w:val="double"/>
        </w:rPr>
        <w:t>chapter</w:t>
      </w:r>
      <w:r w:rsidRPr="00656793">
        <w:t> ] in all Enclosed Areas exempted by the California smokefree workplace law (Labor Code section 6404.5(d), as that section may be amended from time to time) [ </w:t>
      </w:r>
      <w:r w:rsidRPr="00656793">
        <w:rPr>
          <w:u w:val="single"/>
        </w:rPr>
        <w:t>except as provided below</w:t>
      </w:r>
      <w:r w:rsidRPr="00656793">
        <w:t> ].</w:t>
      </w:r>
    </w:p>
    <w:p w14:paraId="0FEE1A93" w14:textId="77777777" w:rsidR="00615A6D" w:rsidRPr="009525EE" w:rsidRDefault="00615A6D" w:rsidP="00615A6D">
      <w:pPr>
        <w:pStyle w:val="LevelA"/>
        <w:widowControl/>
        <w:tabs>
          <w:tab w:val="clear" w:pos="720"/>
          <w:tab w:val="clear" w:pos="1440"/>
          <w:tab w:val="clear" w:pos="1800"/>
          <w:tab w:val="clear" w:pos="2160"/>
        </w:tabs>
        <w:ind w:left="0" w:firstLine="0"/>
        <w:rPr>
          <w:color w:val="000000"/>
        </w:rPr>
      </w:pPr>
    </w:p>
    <w:p w14:paraId="3C7E28D5"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provision </w:t>
      </w:r>
      <w:r>
        <w:t>clarifies that Smoking is prohibited in all workplaces exempt from the state smokefree workplace law, unless</w:t>
      </w:r>
      <w:r w:rsidRPr="009525EE">
        <w:t xml:space="preserve"> a community adopts some of the optional language below.</w:t>
      </w:r>
      <w:r>
        <w:t xml:space="preserve"> It also contains optional language that would prohibit the use of non-combustible Tobacco Products in those same locations.</w:t>
      </w:r>
    </w:p>
    <w:p w14:paraId="4EF14C65" w14:textId="77777777" w:rsidR="00615A6D" w:rsidRPr="009525EE" w:rsidRDefault="00615A6D" w:rsidP="00615A6D">
      <w:pPr>
        <w:pStyle w:val="LevelA"/>
        <w:widowControl/>
      </w:pPr>
    </w:p>
    <w:p w14:paraId="1A0C9071" w14:textId="77777777" w:rsidR="00615A6D" w:rsidRPr="009525EE" w:rsidRDefault="00615A6D" w:rsidP="00B05B50">
      <w:pPr>
        <w:pStyle w:val="bullets-123"/>
      </w:pPr>
      <w:r w:rsidRPr="009525EE">
        <w:t xml:space="preserve">[ </w:t>
      </w:r>
      <w:r w:rsidRPr="005A6F8C">
        <w:rPr>
          <w:u w:val="single"/>
        </w:rPr>
        <w:t>(1) Smoking is not restricted by this subsection in up to</w:t>
      </w:r>
      <w:r w:rsidRPr="009525EE">
        <w:t xml:space="preserve"> [ </w:t>
      </w:r>
      <w:r w:rsidRPr="00882ABE">
        <w:rPr>
          <w:u w:val="double"/>
        </w:rPr>
        <w:t>ten percent (10%)</w:t>
      </w:r>
      <w:r w:rsidRPr="009525EE">
        <w:t xml:space="preserve"> ] </w:t>
      </w:r>
      <w:r w:rsidRPr="005A6F8C">
        <w:rPr>
          <w:u w:val="single"/>
        </w:rPr>
        <w:t>of guest</w:t>
      </w:r>
      <w:r w:rsidR="005766AE">
        <w:rPr>
          <w:u w:val="single"/>
        </w:rPr>
        <w:t xml:space="preserve"> </w:t>
      </w:r>
      <w:r w:rsidRPr="005A6F8C">
        <w:rPr>
          <w:u w:val="single"/>
        </w:rPr>
        <w:t>room accommodations in a hotel, motel, or similar transient lodging establishment that meets the requirements of California Civil Code section 1940(b)(2) if the hotel or motel permanently designates particular guest</w:t>
      </w:r>
      <w:r w:rsidR="005766AE">
        <w:rPr>
          <w:u w:val="single"/>
        </w:rPr>
        <w:t xml:space="preserve"> </w:t>
      </w:r>
      <w:r w:rsidRPr="005A6F8C">
        <w:rPr>
          <w:u w:val="single"/>
        </w:rPr>
        <w:t>rooms as nonsmoking rooms such that</w:t>
      </w:r>
      <w:r w:rsidRPr="009525EE">
        <w:t xml:space="preserve"> </w:t>
      </w:r>
      <w:r w:rsidRPr="00882ABE">
        <w:t>[ </w:t>
      </w:r>
      <w:r w:rsidRPr="00882ABE">
        <w:rPr>
          <w:u w:val="double"/>
        </w:rPr>
        <w:t>ninety percent (90%)</w:t>
      </w:r>
      <w:r w:rsidRPr="009525EE">
        <w:t xml:space="preserve"> ] </w:t>
      </w:r>
      <w:r w:rsidRPr="005A6F8C">
        <w:rPr>
          <w:u w:val="single"/>
        </w:rPr>
        <w:t>or more of guest</w:t>
      </w:r>
      <w:r w:rsidR="005766AE">
        <w:rPr>
          <w:u w:val="single"/>
        </w:rPr>
        <w:t xml:space="preserve"> </w:t>
      </w:r>
      <w:r w:rsidRPr="005A6F8C">
        <w:rPr>
          <w:u w:val="single"/>
        </w:rPr>
        <w:t>rooms are permanently nonsmoking</w:t>
      </w:r>
      <w:r w:rsidR="00CC0802">
        <w:rPr>
          <w:u w:val="single"/>
        </w:rPr>
        <w:t>,</w:t>
      </w:r>
      <w:r w:rsidRPr="005A6F8C">
        <w:rPr>
          <w:u w:val="single"/>
        </w:rPr>
        <w:t xml:space="preserve"> and ashtrays and matches are permanently removed from such nonsmoking rooms. Permanent “No Smoking” signage shall be placed in nonsmoking guest</w:t>
      </w:r>
      <w:r w:rsidR="005766AE">
        <w:rPr>
          <w:u w:val="single"/>
        </w:rPr>
        <w:t xml:space="preserve"> </w:t>
      </w:r>
      <w:r w:rsidRPr="005A6F8C">
        <w:rPr>
          <w:u w:val="single"/>
        </w:rPr>
        <w:t>rooms.</w:t>
      </w:r>
      <w:r w:rsidRPr="00AA4AD0">
        <w:t> ]</w:t>
      </w:r>
    </w:p>
    <w:p w14:paraId="6F0DF90B" w14:textId="77777777" w:rsidR="00615A6D" w:rsidRPr="009525EE" w:rsidRDefault="00615A6D" w:rsidP="00615A6D">
      <w:pPr>
        <w:pStyle w:val="LevelA"/>
        <w:widowControl/>
        <w:tabs>
          <w:tab w:val="clear" w:pos="720"/>
          <w:tab w:val="clear" w:pos="1440"/>
          <w:tab w:val="clear" w:pos="1800"/>
          <w:tab w:val="clear" w:pos="2160"/>
        </w:tabs>
        <w:ind w:left="0" w:firstLine="0"/>
        <w:rPr>
          <w:color w:val="000000"/>
        </w:rPr>
      </w:pPr>
    </w:p>
    <w:p w14:paraId="06180B78" w14:textId="77777777" w:rsidR="00615A6D" w:rsidRPr="009525EE" w:rsidRDefault="00615A6D" w:rsidP="00824922">
      <w:pPr>
        <w:pStyle w:val="commentsbox"/>
        <w:ind w:left="1080"/>
      </w:pPr>
      <w:r w:rsidRPr="009525EE">
        <w:rPr>
          <w:b/>
          <w:caps/>
        </w:rPr>
        <w:t>comment</w:t>
      </w:r>
      <w:r w:rsidRPr="009525EE">
        <w:rPr>
          <w:b/>
          <w:smallCaps/>
        </w:rPr>
        <w:t>:</w:t>
      </w:r>
      <w:r w:rsidRPr="009525EE">
        <w:t xml:space="preserve"> This optional language is only for those communities that do not want to require 100</w:t>
      </w:r>
      <w:r>
        <w:t xml:space="preserve"> percent</w:t>
      </w:r>
      <w:r w:rsidRPr="009525EE">
        <w:t xml:space="preserve"> smokefree hotels</w:t>
      </w:r>
      <w:r>
        <w:t xml:space="preserve"> or motels</w:t>
      </w:r>
      <w:r w:rsidRPr="009525EE">
        <w:t>.</w:t>
      </w:r>
    </w:p>
    <w:p w14:paraId="637CA06E" w14:textId="77777777" w:rsidR="00615A6D" w:rsidRPr="009525EE" w:rsidRDefault="00615A6D" w:rsidP="00615A6D">
      <w:pPr>
        <w:pStyle w:val="LevelB"/>
        <w:widowControl/>
      </w:pPr>
    </w:p>
    <w:p w14:paraId="3F2391C0" w14:textId="77777777" w:rsidR="00615A6D" w:rsidRPr="009525EE" w:rsidRDefault="00615A6D" w:rsidP="00B05B50">
      <w:pPr>
        <w:pStyle w:val="bullets-123"/>
      </w:pPr>
      <w:r w:rsidRPr="009525EE">
        <w:t xml:space="preserve">[ </w:t>
      </w:r>
      <w:r w:rsidRPr="005A6F8C">
        <w:rPr>
          <w:u w:val="single"/>
        </w:rPr>
        <w:t>(2) Smoking inside a Tobacco Shop is not prohibited by this subsection if: (a) the Tobacco Shop does not sell edible products, including, for example, food, water, or drinks, or allow such products to be consumed on the premises; (b) the Tobacco Shop prohibits minors from entering the store at all times; and (c) the premises of the Tobacco Shop is an independent freestanding building unattached to any other building, establishment, or use. For the purposes of this exception, “Tobacco Shop” means any tobacco retailer that derives more than</w:t>
      </w:r>
      <w:r w:rsidRPr="009525EE">
        <w:t xml:space="preserve"> [ </w:t>
      </w:r>
      <w:r w:rsidRPr="009525EE">
        <w:rPr>
          <w:u w:val="double"/>
        </w:rPr>
        <w:t>seventy-five percent (75%)</w:t>
      </w:r>
      <w:r w:rsidRPr="009525EE">
        <w:t xml:space="preserve"> ] </w:t>
      </w:r>
      <w:r w:rsidRPr="005A6F8C">
        <w:rPr>
          <w:u w:val="single"/>
        </w:rPr>
        <w:t>of gross sales receipts from the sale or exchange of Tobacco Products and tobacco paraphernalia.</w:t>
      </w:r>
      <w:r w:rsidRPr="00AA4AD0">
        <w:t xml:space="preserve"> ]</w:t>
      </w:r>
    </w:p>
    <w:p w14:paraId="529B3AE8" w14:textId="77777777" w:rsidR="00615A6D" w:rsidRPr="009525EE" w:rsidRDefault="00615A6D" w:rsidP="00615A6D">
      <w:pPr>
        <w:pStyle w:val="LevelA"/>
        <w:widowControl/>
        <w:tabs>
          <w:tab w:val="clear" w:pos="720"/>
          <w:tab w:val="clear" w:pos="1440"/>
          <w:tab w:val="clear" w:pos="1800"/>
          <w:tab w:val="clear" w:pos="2160"/>
        </w:tabs>
        <w:ind w:left="0" w:firstLine="0"/>
        <w:rPr>
          <w:color w:val="000000"/>
        </w:rPr>
      </w:pPr>
    </w:p>
    <w:p w14:paraId="282FAD0D" w14:textId="77777777" w:rsidR="00615A6D" w:rsidRPr="009525EE" w:rsidRDefault="00615A6D" w:rsidP="00DE15ED">
      <w:pPr>
        <w:pStyle w:val="commentsbox"/>
        <w:ind w:left="1080"/>
      </w:pPr>
      <w:r w:rsidRPr="009525EE">
        <w:rPr>
          <w:b/>
          <w:caps/>
        </w:rPr>
        <w:t>comment</w:t>
      </w:r>
      <w:r w:rsidRPr="009525EE">
        <w:rPr>
          <w:b/>
          <w:smallCaps/>
        </w:rPr>
        <w:t>:</w:t>
      </w:r>
      <w:r w:rsidRPr="009525EE">
        <w:t xml:space="preserve"> This optional language is provided for communities that wish to permit Smoking inside a very small subset of </w:t>
      </w:r>
      <w:r w:rsidRPr="009525EE">
        <w:rPr>
          <w:i/>
        </w:rPr>
        <w:t>bona fide</w:t>
      </w:r>
      <w:r w:rsidRPr="009525EE">
        <w:t xml:space="preserve"> </w:t>
      </w:r>
      <w:r>
        <w:t>T</w:t>
      </w:r>
      <w:r w:rsidRPr="009525EE">
        <w:t xml:space="preserve">obacco </w:t>
      </w:r>
      <w:r>
        <w:t>S</w:t>
      </w:r>
      <w:r w:rsidRPr="009525EE">
        <w:t xml:space="preserve">hops that don’t allow any food or drink to be consumed inside or </w:t>
      </w:r>
      <w:r>
        <w:t xml:space="preserve">don’t </w:t>
      </w:r>
      <w:r w:rsidRPr="009525EE">
        <w:t xml:space="preserve">share walls with other </w:t>
      </w:r>
      <w:r>
        <w:t>establishments</w:t>
      </w:r>
      <w:r w:rsidRPr="009525EE">
        <w:t xml:space="preserve"> or </w:t>
      </w:r>
      <w:r w:rsidRPr="009525EE">
        <w:lastRenderedPageBreak/>
        <w:t>residential property.</w:t>
      </w:r>
      <w:r w:rsidR="00BD7973">
        <w:t xml:space="preserve"> </w:t>
      </w:r>
      <w:r>
        <w:t>It would apply to Tobacco Shops that sell conventional Tobacco Products as well as stores that sell emerging Tobacco Products, like vape lounges.</w:t>
      </w:r>
    </w:p>
    <w:p w14:paraId="480E8C3C" w14:textId="77777777" w:rsidR="00615A6D" w:rsidRPr="009525EE" w:rsidRDefault="00615A6D" w:rsidP="00DE15ED">
      <w:pPr>
        <w:pStyle w:val="commentsbox"/>
        <w:ind w:left="1080"/>
      </w:pPr>
      <w:r w:rsidRPr="009525EE">
        <w:t xml:space="preserve">Note that </w:t>
      </w:r>
      <w:r w:rsidRPr="001C7DC2">
        <w:rPr>
          <w:i/>
        </w:rPr>
        <w:t>reducing</w:t>
      </w:r>
      <w:r w:rsidRPr="009525EE">
        <w:t xml:space="preserve"> the percentage of gross sales receipts required </w:t>
      </w:r>
      <w:r w:rsidRPr="009525EE">
        <w:rPr>
          <w:i/>
        </w:rPr>
        <w:t>increases</w:t>
      </w:r>
      <w:r w:rsidRPr="009525EE">
        <w:t xml:space="preserve"> the number of retailers able to invoke this exception and legally permit Smoking indoors.</w:t>
      </w:r>
    </w:p>
    <w:p w14:paraId="7126C2B2" w14:textId="77777777" w:rsidR="00615A6D" w:rsidRPr="009525EE" w:rsidRDefault="00615A6D" w:rsidP="00615A6D">
      <w:pPr>
        <w:pStyle w:val="LevelB"/>
        <w:widowControl/>
      </w:pPr>
    </w:p>
    <w:p w14:paraId="77080BE4" w14:textId="77777777" w:rsidR="00615A6D" w:rsidRPr="009525EE" w:rsidRDefault="00615A6D" w:rsidP="00B05B50">
      <w:pPr>
        <w:pStyle w:val="bullets-123"/>
      </w:pPr>
      <w:r w:rsidRPr="009525EE">
        <w:t xml:space="preserve">[ </w:t>
      </w:r>
      <w:r w:rsidRPr="005A6F8C">
        <w:rPr>
          <w:u w:val="single"/>
        </w:rPr>
        <w:t>(3) Smoking in a theatrical production by the actors is not prohibited by this subsection if Smoking is an integral part of the story</w:t>
      </w:r>
      <w:r w:rsidR="00CC0802">
        <w:rPr>
          <w:u w:val="single"/>
        </w:rPr>
        <w:t>,</w:t>
      </w:r>
      <w:r w:rsidRPr="005A6F8C">
        <w:rPr>
          <w:u w:val="single"/>
        </w:rPr>
        <w:t xml:space="preserve"> and the use of a fake, prop, or special effect cannot reasonably convey the idea of Smoking in an effective way to a reasonable member of the anticipated audience. </w:t>
      </w:r>
      <w:r w:rsidRPr="00AA4AD0">
        <w:t>]</w:t>
      </w:r>
    </w:p>
    <w:p w14:paraId="0ABD12F5" w14:textId="77777777" w:rsidR="00615A6D" w:rsidRPr="009525EE" w:rsidRDefault="00615A6D" w:rsidP="00615A6D">
      <w:pPr>
        <w:pStyle w:val="LevelB"/>
        <w:widowControl/>
      </w:pPr>
    </w:p>
    <w:p w14:paraId="128CEE7D" w14:textId="77777777" w:rsidR="00615A6D" w:rsidRPr="00F30DBF" w:rsidRDefault="00615A6D" w:rsidP="00F30DBF">
      <w:pPr>
        <w:pStyle w:val="BasicParagraph"/>
        <w:spacing w:after="240"/>
        <w:rPr>
          <w:b/>
        </w:rPr>
      </w:pPr>
      <w:r w:rsidRPr="00B05B50">
        <w:rPr>
          <w:b/>
        </w:rPr>
        <w:t xml:space="preserve">Sec. [ ____ (*3) ]. PROHIBITION OF SMOKING [ </w:t>
      </w:r>
      <w:r w:rsidRPr="00B05B50">
        <w:rPr>
          <w:b/>
          <w:u w:val="single"/>
        </w:rPr>
        <w:t>AND TOBACCO PRODUCT USE</w:t>
      </w:r>
      <w:r w:rsidRPr="00B05B50">
        <w:rPr>
          <w:b/>
        </w:rPr>
        <w:t xml:space="preserve"> ] IN UNENCLOSED AREAS</w:t>
      </w:r>
      <w:r w:rsidR="005766AE">
        <w:rPr>
          <w:b/>
        </w:rPr>
        <w:t>.</w:t>
      </w:r>
    </w:p>
    <w:p w14:paraId="43A5EEB4" w14:textId="77777777" w:rsidR="00615A6D" w:rsidRPr="009525EE" w:rsidRDefault="00615A6D" w:rsidP="00F30DBF">
      <w:pPr>
        <w:pStyle w:val="commentsbox"/>
      </w:pPr>
      <w:r w:rsidRPr="009525EE">
        <w:rPr>
          <w:b/>
          <w:caps/>
        </w:rPr>
        <w:t>comment</w:t>
      </w:r>
      <w:r w:rsidRPr="009525EE">
        <w:rPr>
          <w:b/>
          <w:smallCaps/>
        </w:rPr>
        <w:t>:</w:t>
      </w:r>
      <w:r w:rsidRPr="009525EE">
        <w:t xml:space="preserve"> </w:t>
      </w:r>
      <w:r>
        <w:t xml:space="preserve">This section prohibits Smoking in a broad array of outdoor areas. </w:t>
      </w:r>
      <w:r w:rsidRPr="009525EE">
        <w:t xml:space="preserve">If a community wants to prohibit the use of all Tobacco Products </w:t>
      </w:r>
      <w:r>
        <w:t xml:space="preserve">(including those that do not produce Smoke, such as chewing tobacco and snus) </w:t>
      </w:r>
      <w:r w:rsidRPr="009525EE">
        <w:t xml:space="preserve">in addition to Smoking, then </w:t>
      </w:r>
      <w:r>
        <w:t xml:space="preserve">it should </w:t>
      </w:r>
      <w:r w:rsidRPr="009525EE">
        <w:t xml:space="preserve">include the optional bracketed text referring to the use of Tobacco Products each time </w:t>
      </w:r>
      <w:r>
        <w:t>Smoking</w:t>
      </w:r>
      <w:r w:rsidRPr="009525EE">
        <w:t xml:space="preserve"> is referenced in the ordinance.</w:t>
      </w:r>
    </w:p>
    <w:p w14:paraId="4FC33932" w14:textId="77777777" w:rsidR="00615A6D" w:rsidRPr="009525EE" w:rsidRDefault="00615A6D" w:rsidP="00615A6D">
      <w:pPr>
        <w:pStyle w:val="Header"/>
        <w:tabs>
          <w:tab w:val="clear" w:pos="4320"/>
          <w:tab w:val="clear" w:pos="8640"/>
        </w:tabs>
        <w:rPr>
          <w:color w:val="000000"/>
        </w:rPr>
      </w:pPr>
    </w:p>
    <w:p w14:paraId="0F7609C9" w14:textId="77777777" w:rsidR="00615A6D" w:rsidRPr="009525EE" w:rsidRDefault="00615A6D" w:rsidP="00615A6D">
      <w:pPr>
        <w:pStyle w:val="bullets-abc"/>
        <w:widowControl/>
      </w:pPr>
      <w:r w:rsidRPr="009525EE">
        <w:t>(a)</w:t>
      </w:r>
      <w:r w:rsidRPr="009525EE">
        <w:tab/>
      </w:r>
      <w:r w:rsidRPr="00244987">
        <w:t xml:space="preserve">Smoking [ </w:t>
      </w:r>
      <w:r w:rsidRPr="00244987">
        <w:rPr>
          <w:u w:val="single"/>
        </w:rPr>
        <w:t>and the use of Tobacco Products</w:t>
      </w:r>
      <w:r w:rsidRPr="00244987">
        <w:t xml:space="preserve"> ] is prohibited in the Unenclosed Areas of the following places within the [ </w:t>
      </w:r>
      <w:r w:rsidRPr="00244987">
        <w:rPr>
          <w:u w:val="single"/>
        </w:rPr>
        <w:t>City</w:t>
      </w:r>
      <w:r w:rsidRPr="00244987">
        <w:t xml:space="preserve"> / </w:t>
      </w:r>
      <w:r w:rsidRPr="00244987">
        <w:rPr>
          <w:u w:val="double"/>
        </w:rPr>
        <w:t>County of</w:t>
      </w:r>
      <w:r w:rsidRPr="00244987">
        <w:t xml:space="preserve"> </w:t>
      </w:r>
      <w:r w:rsidRPr="00244987">
        <w:rPr>
          <w:b/>
        </w:rPr>
        <w:t>____</w:t>
      </w:r>
      <w:r>
        <w:t> ]</w:t>
      </w:r>
      <w:r w:rsidRPr="00E75A64">
        <w:t>:</w:t>
      </w:r>
    </w:p>
    <w:p w14:paraId="3E621699" w14:textId="77777777" w:rsidR="00615A6D" w:rsidRPr="009525EE" w:rsidRDefault="00615A6D" w:rsidP="00615A6D">
      <w:pPr>
        <w:pStyle w:val="LevelA"/>
        <w:widowControl/>
        <w:ind w:left="0" w:firstLine="0"/>
        <w:rPr>
          <w:color w:val="000000"/>
        </w:rPr>
      </w:pPr>
    </w:p>
    <w:p w14:paraId="5409B65C" w14:textId="77777777" w:rsidR="00615A6D" w:rsidRPr="009525EE" w:rsidRDefault="00B05B50" w:rsidP="00B05B50">
      <w:pPr>
        <w:pStyle w:val="bullets-123"/>
      </w:pPr>
      <w:r>
        <w:t>(1)</w:t>
      </w:r>
      <w:r>
        <w:tab/>
      </w:r>
      <w:r w:rsidR="00615A6D" w:rsidRPr="009525EE">
        <w:t>Recreational Areas;</w:t>
      </w:r>
    </w:p>
    <w:p w14:paraId="13A5CBE7" w14:textId="77777777" w:rsidR="00615A6D" w:rsidRPr="009525EE" w:rsidRDefault="00615A6D" w:rsidP="00B05B50">
      <w:pPr>
        <w:pStyle w:val="bullets-123"/>
      </w:pPr>
    </w:p>
    <w:p w14:paraId="5A8C26A5" w14:textId="77777777" w:rsidR="00615A6D" w:rsidRPr="009525EE" w:rsidRDefault="00615A6D" w:rsidP="00B05B50">
      <w:pPr>
        <w:pStyle w:val="bullets-123"/>
      </w:pPr>
      <w:r w:rsidRPr="009525EE">
        <w:t>(2)</w:t>
      </w:r>
      <w:r w:rsidR="00B05B50">
        <w:tab/>
      </w:r>
      <w:r w:rsidRPr="009525EE">
        <w:t>Service Areas;</w:t>
      </w:r>
    </w:p>
    <w:p w14:paraId="4DB37DF4" w14:textId="77777777" w:rsidR="00615A6D" w:rsidRPr="009525EE" w:rsidRDefault="00615A6D" w:rsidP="00B05B50">
      <w:pPr>
        <w:pStyle w:val="bullets-123"/>
      </w:pPr>
    </w:p>
    <w:p w14:paraId="79F3D6B3" w14:textId="77777777" w:rsidR="00615A6D" w:rsidRPr="009525EE" w:rsidRDefault="00615A6D" w:rsidP="00B05B50">
      <w:pPr>
        <w:pStyle w:val="bullets-123"/>
      </w:pPr>
      <w:r w:rsidRPr="009525EE">
        <w:t>(3)</w:t>
      </w:r>
      <w:r w:rsidR="00B05B50">
        <w:tab/>
      </w:r>
      <w:r>
        <w:t>Dining Areas;</w:t>
      </w:r>
    </w:p>
    <w:p w14:paraId="1A8081CC" w14:textId="77777777" w:rsidR="00615A6D" w:rsidRPr="009525EE" w:rsidRDefault="00615A6D" w:rsidP="00B05B50">
      <w:pPr>
        <w:pStyle w:val="bullets-123"/>
      </w:pPr>
    </w:p>
    <w:p w14:paraId="4F0030D2" w14:textId="77777777" w:rsidR="00615A6D" w:rsidRPr="009525EE" w:rsidRDefault="00615A6D" w:rsidP="00B05B50">
      <w:pPr>
        <w:pStyle w:val="bullets-123"/>
      </w:pPr>
      <w:r w:rsidRPr="009525EE">
        <w:t>(4)</w:t>
      </w:r>
      <w:r w:rsidR="00B05B50">
        <w:tab/>
      </w:r>
      <w:r w:rsidRPr="009525EE">
        <w:t>Places of Employment;</w:t>
      </w:r>
    </w:p>
    <w:p w14:paraId="555DCD97" w14:textId="77777777" w:rsidR="00615A6D" w:rsidRPr="009525EE" w:rsidRDefault="00615A6D" w:rsidP="00B05B50">
      <w:pPr>
        <w:pStyle w:val="bullets-123"/>
      </w:pPr>
    </w:p>
    <w:p w14:paraId="0AA509E0" w14:textId="6F3ADE6F" w:rsidR="00615A6D" w:rsidRPr="009525EE" w:rsidRDefault="00615A6D" w:rsidP="00B05B50">
      <w:pPr>
        <w:pStyle w:val="bullets-123"/>
      </w:pPr>
      <w:r w:rsidRPr="009525EE">
        <w:t>(5)</w:t>
      </w:r>
      <w:r w:rsidR="00B05B50">
        <w:tab/>
      </w:r>
      <w:r w:rsidRPr="009525EE">
        <w:t xml:space="preserve">Common Areas of </w:t>
      </w:r>
      <w:r w:rsidR="002B5041">
        <w:t>Multiunit</w:t>
      </w:r>
      <w:r w:rsidRPr="009525EE">
        <w:t xml:space="preserve"> Residences [ </w:t>
      </w:r>
      <w:r w:rsidR="004629F1" w:rsidRPr="00D04B59">
        <w:rPr>
          <w:u w:val="single"/>
        </w:rPr>
        <w:t>, provided, however, that a Person with legal control over a Common Area may designate a portion of the Unenclosed Area of the Common Area as a designated Smoking area if the</w:t>
      </w:r>
      <w:r w:rsidR="00EA4119">
        <w:rPr>
          <w:u w:val="single"/>
        </w:rPr>
        <w:t xml:space="preserve"> area</w:t>
      </w:r>
      <w:r w:rsidR="004629F1" w:rsidRPr="00D04B59">
        <w:rPr>
          <w:u w:val="single"/>
        </w:rPr>
        <w:t>:</w:t>
      </w:r>
      <w:r w:rsidRPr="009525EE">
        <w:t xml:space="preserve"> </w:t>
      </w:r>
    </w:p>
    <w:p w14:paraId="78789F0D" w14:textId="77777777" w:rsidR="00615A6D" w:rsidRPr="009525EE" w:rsidRDefault="00615A6D" w:rsidP="00615A6D">
      <w:pPr>
        <w:pStyle w:val="LevelA"/>
        <w:widowControl/>
        <w:tabs>
          <w:tab w:val="clear" w:pos="360"/>
        </w:tabs>
        <w:ind w:left="720"/>
        <w:rPr>
          <w:u w:val="single"/>
        </w:rPr>
      </w:pPr>
    </w:p>
    <w:p w14:paraId="467ABD45" w14:textId="77777777" w:rsidR="00615A6D" w:rsidRPr="009525EE" w:rsidRDefault="00615A6D" w:rsidP="007E14FF">
      <w:pPr>
        <w:pStyle w:val="commentsbox"/>
        <w:ind w:left="1080"/>
      </w:pPr>
      <w:r w:rsidRPr="009525EE">
        <w:rPr>
          <w:b/>
          <w:caps/>
        </w:rPr>
        <w:t>comment</w:t>
      </w:r>
      <w:r w:rsidRPr="009525EE">
        <w:rPr>
          <w:b/>
          <w:smallCaps/>
        </w:rPr>
        <w:t>:</w:t>
      </w:r>
      <w:r w:rsidRPr="009525EE">
        <w:t xml:space="preserve"> The bracketed optional language would permit landlords or property managers, for example, to locate a designated Smoking area in the outdoor portion of the Common Area of a </w:t>
      </w:r>
      <w:r w:rsidR="002B5041">
        <w:t>Multiunit</w:t>
      </w:r>
      <w:r w:rsidRPr="009525EE">
        <w:t xml:space="preserve"> Residence. By allowing for an outdoor Smoking area, residents will have a place to go where they will not expose their family members or other residents to Smoke.</w:t>
      </w:r>
    </w:p>
    <w:p w14:paraId="6DBBCA2B" w14:textId="77777777" w:rsidR="00615A6D" w:rsidRPr="009525EE" w:rsidRDefault="00615A6D" w:rsidP="00615A6D">
      <w:pPr>
        <w:pStyle w:val="LevelA"/>
        <w:widowControl/>
        <w:tabs>
          <w:tab w:val="clear" w:pos="360"/>
        </w:tabs>
        <w:ind w:left="720"/>
        <w:rPr>
          <w:u w:val="single"/>
        </w:rPr>
      </w:pPr>
    </w:p>
    <w:p w14:paraId="5847C61C" w14:textId="784F98B5" w:rsidR="00615A6D" w:rsidRPr="00B05B50" w:rsidRDefault="00615A6D" w:rsidP="00B05B50">
      <w:pPr>
        <w:pStyle w:val="bulletsi"/>
        <w:ind w:left="1620"/>
        <w:rPr>
          <w:u w:val="single"/>
        </w:rPr>
      </w:pPr>
      <w:r w:rsidRPr="00B05B50">
        <w:rPr>
          <w:u w:val="single"/>
        </w:rPr>
        <w:t xml:space="preserve">(i) </w:t>
      </w:r>
      <w:r w:rsidRPr="00B05B50">
        <w:rPr>
          <w:u w:val="single"/>
        </w:rPr>
        <w:tab/>
      </w:r>
      <w:r w:rsidR="00EA4119">
        <w:rPr>
          <w:u w:val="single"/>
        </w:rPr>
        <w:t>is</w:t>
      </w:r>
      <w:r w:rsidRPr="00B05B50">
        <w:rPr>
          <w:u w:val="single"/>
        </w:rPr>
        <w:t xml:space="preserve"> located a Reasonable Distance from any Unit or Enclosed Area where Smoking is prohibited by this [ article / chapter ] or other law; by binding agreement relating to the ownership, occupancy, or use of real property; or by </w:t>
      </w:r>
      <w:r w:rsidRPr="00B05B50">
        <w:rPr>
          <w:u w:val="single"/>
        </w:rPr>
        <w:lastRenderedPageBreak/>
        <w:t xml:space="preserve">designation of a Person with legal control over the property. In the case of a nonsmoking area created by agreement or designation, this provision does not apply unless the Person designating the Smoking area has actual knowledge of, or has been given notice of, the agreement or designation. A Person with legal control over a designated Smoking area may be obliged to modify, relocate, or eliminate </w:t>
      </w:r>
      <w:r w:rsidR="00CF59DE">
        <w:rPr>
          <w:u w:val="single"/>
        </w:rPr>
        <w:t>it</w:t>
      </w:r>
      <w:r w:rsidR="00CF59DE" w:rsidRPr="00B05B50">
        <w:rPr>
          <w:u w:val="single"/>
        </w:rPr>
        <w:t xml:space="preserve"> </w:t>
      </w:r>
      <w:r w:rsidRPr="00B05B50">
        <w:rPr>
          <w:u w:val="single"/>
        </w:rPr>
        <w:t>as laws change, as binding agreements are created, and as nonsmoking areas on neighboring property are established;</w:t>
      </w:r>
    </w:p>
    <w:p w14:paraId="54880EFD" w14:textId="77777777" w:rsidR="00615A6D" w:rsidRPr="009525EE" w:rsidRDefault="00615A6D" w:rsidP="00615A6D">
      <w:pPr>
        <w:pStyle w:val="LevelA"/>
        <w:widowControl/>
      </w:pPr>
    </w:p>
    <w:p w14:paraId="02B3F28E" w14:textId="3F3147EE" w:rsidR="00615A6D" w:rsidRPr="009525EE" w:rsidRDefault="00615A6D" w:rsidP="007E14FF">
      <w:pPr>
        <w:pStyle w:val="commentsbox"/>
        <w:ind w:left="1620"/>
      </w:pPr>
      <w:r w:rsidRPr="009525EE">
        <w:rPr>
          <w:b/>
          <w:caps/>
        </w:rPr>
        <w:t>comment</w:t>
      </w:r>
      <w:r w:rsidRPr="009525EE">
        <w:rPr>
          <w:b/>
          <w:smallCaps/>
        </w:rPr>
        <w:t>:</w:t>
      </w:r>
      <w:r w:rsidRPr="009525EE">
        <w:t xml:space="preserve"> This clause limits where a Smoking area can be located to prevent drifting Smoke from entering smokefree areas. As written, it includes areas on neighboring property that are designated as nonsmoking by contract (eg, a smokefree lease term for a rental </w:t>
      </w:r>
      <w:r>
        <w:t>U</w:t>
      </w:r>
      <w:r w:rsidRPr="009525EE">
        <w:t xml:space="preserve">nit next to, but not a part of, the </w:t>
      </w:r>
      <w:r w:rsidR="002B5041">
        <w:t>Multiunit</w:t>
      </w:r>
      <w:r w:rsidRPr="009525EE">
        <w:t xml:space="preserve"> Residence) and areas on neighboring property designated by a property owner or lessee as nonsmoking (eg, a neighboring </w:t>
      </w:r>
      <w:r>
        <w:t>B</w:t>
      </w:r>
      <w:r w:rsidRPr="009525EE">
        <w:t>usiness).</w:t>
      </w:r>
    </w:p>
    <w:p w14:paraId="4C6CE19D" w14:textId="77777777" w:rsidR="00615A6D" w:rsidRPr="009525EE" w:rsidRDefault="00615A6D" w:rsidP="00615A6D">
      <w:pPr>
        <w:pStyle w:val="LevelA"/>
        <w:widowControl/>
        <w:tabs>
          <w:tab w:val="clear" w:pos="1440"/>
        </w:tabs>
        <w:ind w:firstLine="720"/>
        <w:rPr>
          <w:u w:val="single"/>
        </w:rPr>
      </w:pPr>
    </w:p>
    <w:p w14:paraId="08182E70" w14:textId="77777777" w:rsidR="00615A6D" w:rsidRPr="009525EE" w:rsidRDefault="00615A6D" w:rsidP="00B05B50">
      <w:pPr>
        <w:pStyle w:val="bulletsi"/>
      </w:pPr>
      <w:r w:rsidRPr="003A5AF1">
        <w:t>(</w:t>
      </w:r>
      <w:r w:rsidRPr="00B05B50">
        <w:rPr>
          <w:u w:val="single"/>
        </w:rPr>
        <w:t xml:space="preserve">ii) </w:t>
      </w:r>
      <w:r w:rsidR="00B05B50">
        <w:rPr>
          <w:u w:val="single"/>
        </w:rPr>
        <w:tab/>
      </w:r>
      <w:r w:rsidR="00EA4119">
        <w:rPr>
          <w:u w:val="single"/>
        </w:rPr>
        <w:t>does</w:t>
      </w:r>
      <w:r w:rsidRPr="00B05B50">
        <w:rPr>
          <w:u w:val="single"/>
        </w:rPr>
        <w:t xml:space="preserve"> not include, and </w:t>
      </w:r>
      <w:r w:rsidR="00EA4119">
        <w:rPr>
          <w:u w:val="single"/>
        </w:rPr>
        <w:t>is</w:t>
      </w:r>
      <w:r w:rsidRPr="00B05B50">
        <w:rPr>
          <w:u w:val="single"/>
        </w:rPr>
        <w:t xml:space="preserve"> a Reasonable Distance from, Unenclosed Areas primarily used by children and Unenclosed Areas with improvements that facilitate physical activity including, for example, playgrounds, tennis courts, swimming pools, school campuses, and sandboxes;</w:t>
      </w:r>
    </w:p>
    <w:p w14:paraId="22BA4679" w14:textId="77777777" w:rsidR="00615A6D" w:rsidRPr="009525EE" w:rsidRDefault="00615A6D" w:rsidP="00615A6D">
      <w:pPr>
        <w:pStyle w:val="LevelA"/>
        <w:widowControl/>
        <w:tabs>
          <w:tab w:val="clear" w:pos="1440"/>
        </w:tabs>
        <w:spacing w:line="288" w:lineRule="auto"/>
        <w:ind w:left="1714" w:hanging="360"/>
      </w:pPr>
    </w:p>
    <w:p w14:paraId="5F2E43E1" w14:textId="77777777" w:rsidR="00615A6D" w:rsidRPr="00B05B50" w:rsidRDefault="00615A6D" w:rsidP="00B05B50">
      <w:pPr>
        <w:pStyle w:val="bulletsi"/>
        <w:rPr>
          <w:u w:val="single"/>
        </w:rPr>
      </w:pPr>
      <w:r w:rsidRPr="00B05B50">
        <w:rPr>
          <w:u w:val="single"/>
        </w:rPr>
        <w:t xml:space="preserve">(iii) </w:t>
      </w:r>
      <w:r w:rsidR="00EA4119">
        <w:rPr>
          <w:u w:val="single"/>
        </w:rPr>
        <w:t>is</w:t>
      </w:r>
      <w:r w:rsidRPr="00B05B50">
        <w:rPr>
          <w:u w:val="single"/>
        </w:rPr>
        <w:t xml:space="preserve"> no more than [ ten percent (10%) ] of the total Unenclosed Area of the </w:t>
      </w:r>
      <w:r w:rsidR="002B5041">
        <w:rPr>
          <w:u w:val="single"/>
        </w:rPr>
        <w:t>Multiunit</w:t>
      </w:r>
      <w:r w:rsidRPr="00B05B50">
        <w:rPr>
          <w:u w:val="single"/>
        </w:rPr>
        <w:t xml:space="preserve"> Residence for which it is designated; </w:t>
      </w:r>
    </w:p>
    <w:p w14:paraId="0CEF0A39" w14:textId="77777777" w:rsidR="00615A6D" w:rsidRPr="00B05B50" w:rsidRDefault="00615A6D" w:rsidP="00B05B50">
      <w:pPr>
        <w:pStyle w:val="bulletsi"/>
        <w:rPr>
          <w:u w:val="single"/>
        </w:rPr>
      </w:pPr>
    </w:p>
    <w:p w14:paraId="4967ED5F" w14:textId="77777777" w:rsidR="00615A6D" w:rsidRPr="00B05B50" w:rsidRDefault="00615A6D" w:rsidP="00B05B50">
      <w:pPr>
        <w:pStyle w:val="bulletsi"/>
        <w:rPr>
          <w:u w:val="single"/>
        </w:rPr>
      </w:pPr>
      <w:r w:rsidRPr="00B05B50">
        <w:rPr>
          <w:u w:val="single"/>
        </w:rPr>
        <w:t xml:space="preserve">(iv) </w:t>
      </w:r>
      <w:r w:rsidR="00EA4119">
        <w:rPr>
          <w:u w:val="single"/>
        </w:rPr>
        <w:t>has</w:t>
      </w:r>
      <w:r w:rsidRPr="00B05B50">
        <w:rPr>
          <w:u w:val="single"/>
        </w:rPr>
        <w:t xml:space="preserve"> a clearly marked perimeter; </w:t>
      </w:r>
    </w:p>
    <w:p w14:paraId="330A25FC" w14:textId="77777777" w:rsidR="00615A6D" w:rsidRPr="00B05B50" w:rsidRDefault="00615A6D" w:rsidP="00B05B50">
      <w:pPr>
        <w:pStyle w:val="bulletsi"/>
        <w:rPr>
          <w:u w:val="single"/>
        </w:rPr>
      </w:pPr>
    </w:p>
    <w:p w14:paraId="27601189" w14:textId="77777777" w:rsidR="00615A6D" w:rsidRPr="00B05B50" w:rsidRDefault="00615A6D" w:rsidP="00B05B50">
      <w:pPr>
        <w:pStyle w:val="bulletsi"/>
        <w:rPr>
          <w:u w:val="single"/>
        </w:rPr>
      </w:pPr>
      <w:r w:rsidRPr="00B05B50">
        <w:rPr>
          <w:u w:val="single"/>
        </w:rPr>
        <w:t xml:space="preserve">(v) </w:t>
      </w:r>
      <w:r w:rsidR="00EA4119">
        <w:rPr>
          <w:u w:val="single"/>
        </w:rPr>
        <w:t>is</w:t>
      </w:r>
      <w:r w:rsidRPr="00B05B50">
        <w:rPr>
          <w:u w:val="single"/>
        </w:rPr>
        <w:t xml:space="preserve"> identified by conspicuous signs;</w:t>
      </w:r>
    </w:p>
    <w:p w14:paraId="2B8D7835" w14:textId="77777777" w:rsidR="00615A6D" w:rsidRPr="00B05B50" w:rsidRDefault="00615A6D" w:rsidP="00B05B50">
      <w:pPr>
        <w:pStyle w:val="bulletsi"/>
        <w:rPr>
          <w:u w:val="single"/>
        </w:rPr>
      </w:pPr>
    </w:p>
    <w:p w14:paraId="6D494F02" w14:textId="77777777" w:rsidR="00615A6D" w:rsidRPr="00B05B50" w:rsidRDefault="00615A6D" w:rsidP="00B05B50">
      <w:pPr>
        <w:pStyle w:val="bulletsi"/>
        <w:rPr>
          <w:u w:val="single"/>
        </w:rPr>
      </w:pPr>
      <w:r w:rsidRPr="00B05B50">
        <w:rPr>
          <w:u w:val="single"/>
        </w:rPr>
        <w:t xml:space="preserve">(vi) </w:t>
      </w:r>
      <w:r w:rsidR="00EA4119">
        <w:rPr>
          <w:u w:val="single"/>
        </w:rPr>
        <w:t>is</w:t>
      </w:r>
      <w:r w:rsidRPr="00B05B50">
        <w:rPr>
          <w:u w:val="single"/>
        </w:rPr>
        <w:t xml:space="preserve"> completely within an Unenclosed Area; </w:t>
      </w:r>
      <w:r w:rsidR="00EA4119">
        <w:rPr>
          <w:u w:val="single"/>
        </w:rPr>
        <w:t>and</w:t>
      </w:r>
    </w:p>
    <w:p w14:paraId="3069040D" w14:textId="77777777" w:rsidR="00615A6D" w:rsidRPr="00B05B50" w:rsidRDefault="00615A6D" w:rsidP="00B05B50">
      <w:pPr>
        <w:pStyle w:val="bulletsi"/>
        <w:rPr>
          <w:u w:val="single"/>
        </w:rPr>
      </w:pPr>
    </w:p>
    <w:p w14:paraId="47CD382B" w14:textId="60A15957" w:rsidR="00615A6D" w:rsidRPr="009525EE" w:rsidRDefault="00615A6D" w:rsidP="00B05B50">
      <w:pPr>
        <w:pStyle w:val="bulletsi"/>
      </w:pPr>
      <w:r w:rsidRPr="00B05B50">
        <w:rPr>
          <w:u w:val="single"/>
        </w:rPr>
        <w:t xml:space="preserve">(vii) </w:t>
      </w:r>
      <w:r w:rsidR="00EA4119">
        <w:rPr>
          <w:u w:val="single"/>
        </w:rPr>
        <w:t>does</w:t>
      </w:r>
      <w:r w:rsidRPr="00B05B50">
        <w:rPr>
          <w:u w:val="single"/>
        </w:rPr>
        <w:t xml:space="preserve"> not overlap with any Enclosed or Unenclosed Area in which Smoking is otherwise prohibited by this [ article / chapter ] or other provisions of this </w:t>
      </w:r>
      <w:r w:rsidR="005766AE">
        <w:rPr>
          <w:u w:val="single"/>
        </w:rPr>
        <w:t>c</w:t>
      </w:r>
      <w:r w:rsidRPr="00B05B50">
        <w:rPr>
          <w:u w:val="single"/>
        </w:rPr>
        <w:t>ode, state law, or federal law ];</w:t>
      </w:r>
      <w:r w:rsidRPr="009525EE">
        <w:t xml:space="preserve"> </w:t>
      </w:r>
    </w:p>
    <w:p w14:paraId="26F0B478" w14:textId="77777777" w:rsidR="00615A6D" w:rsidRPr="009525EE" w:rsidRDefault="00615A6D" w:rsidP="00615A6D">
      <w:pPr>
        <w:pStyle w:val="LevelB"/>
        <w:widowControl/>
      </w:pPr>
    </w:p>
    <w:p w14:paraId="7B483A2E" w14:textId="28ED3D51" w:rsidR="00615A6D" w:rsidRPr="009525EE" w:rsidRDefault="00615A6D" w:rsidP="00B05B50">
      <w:pPr>
        <w:pStyle w:val="bullets-123"/>
      </w:pPr>
      <w:r w:rsidRPr="009525EE">
        <w:t xml:space="preserve">(6) </w:t>
      </w:r>
      <w:r w:rsidR="00B05B50">
        <w:tab/>
      </w:r>
      <w:r w:rsidRPr="009525EE">
        <w:t>Other Public Places [ </w:t>
      </w:r>
      <w:r w:rsidR="004629F1" w:rsidRPr="00D04B59">
        <w:rPr>
          <w:u w:val="single"/>
        </w:rPr>
        <w:t>, when being used for a public event including</w:t>
      </w:r>
      <w:r w:rsidR="00CC0802">
        <w:rPr>
          <w:u w:val="single"/>
        </w:rPr>
        <w:t>,</w:t>
      </w:r>
      <w:r w:rsidR="004629F1" w:rsidRPr="00D04B59">
        <w:rPr>
          <w:u w:val="single"/>
        </w:rPr>
        <w:t xml:space="preserve"> but not limited to</w:t>
      </w:r>
      <w:r w:rsidR="00CC0802">
        <w:rPr>
          <w:u w:val="single"/>
        </w:rPr>
        <w:t>,</w:t>
      </w:r>
      <w:r w:rsidR="004629F1" w:rsidRPr="00D04B59">
        <w:rPr>
          <w:u w:val="single"/>
        </w:rPr>
        <w:t xml:space="preserve"> a farmers market, parade, craft fair, festival, or any other event open to the general public</w:t>
      </w:r>
      <w:r w:rsidRPr="009525EE">
        <w:t xml:space="preserve"> / </w:t>
      </w:r>
      <w:r w:rsidRPr="009525EE">
        <w:rPr>
          <w:u w:val="double"/>
        </w:rPr>
        <w:t>, provided that Smoking is permitted on streets and sidewalks used only as pedestrian or vehicular thoroughfares, unless otherwise prohibited by this [ article / chapter ] or other law</w:t>
      </w:r>
      <w:r w:rsidRPr="009525EE">
        <w:t xml:space="preserve"> ].</w:t>
      </w:r>
    </w:p>
    <w:p w14:paraId="1CECE7B5" w14:textId="77777777" w:rsidR="00615A6D" w:rsidRPr="009525EE" w:rsidRDefault="00615A6D" w:rsidP="00615A6D">
      <w:pPr>
        <w:pStyle w:val="LevelB"/>
        <w:widowControl/>
      </w:pPr>
    </w:p>
    <w:p w14:paraId="4781BAEF" w14:textId="71B0EB46" w:rsidR="00615A6D" w:rsidRPr="009525EE" w:rsidRDefault="00615A6D" w:rsidP="007E14FF">
      <w:pPr>
        <w:pStyle w:val="commentsbox"/>
        <w:ind w:left="1080"/>
      </w:pPr>
      <w:r w:rsidRPr="009525EE">
        <w:rPr>
          <w:b/>
          <w:caps/>
        </w:rPr>
        <w:t>comment</w:t>
      </w:r>
      <w:r w:rsidRPr="009525EE">
        <w:rPr>
          <w:b/>
          <w:smallCaps/>
        </w:rPr>
        <w:t>:</w:t>
      </w:r>
      <w:r w:rsidRPr="009525EE">
        <w:t xml:space="preserve"> This is a very broad restriction, which can capture all Public Places that are not otherwise specifically defined in the ordinance. If </w:t>
      </w:r>
      <w:r>
        <w:t xml:space="preserve">a </w:t>
      </w:r>
      <w:r w:rsidRPr="009525EE">
        <w:t xml:space="preserve">community would like to limit the </w:t>
      </w:r>
      <w:r w:rsidRPr="009525EE">
        <w:lastRenderedPageBreak/>
        <w:t xml:space="preserve">Smoking restrictions to Public Places that are being used as a public event site, </w:t>
      </w:r>
      <w:r>
        <w:t xml:space="preserve">it should </w:t>
      </w:r>
      <w:r w:rsidRPr="009525EE">
        <w:t xml:space="preserve">include the </w:t>
      </w:r>
      <w:r w:rsidRPr="009525EE">
        <w:rPr>
          <w:u w:val="single"/>
        </w:rPr>
        <w:t>single-underlined</w:t>
      </w:r>
      <w:r w:rsidRPr="009525EE">
        <w:t xml:space="preserve"> optional language. Your community may wish to tailor the public event description in this section to include and/or cross-reference any existing local permit ordinance requirements. </w:t>
      </w:r>
    </w:p>
    <w:p w14:paraId="56ED34CB" w14:textId="77777777" w:rsidR="00615A6D" w:rsidRPr="009525EE" w:rsidRDefault="00615A6D" w:rsidP="007E14FF">
      <w:pPr>
        <w:pStyle w:val="commentsbox"/>
        <w:ind w:left="1080"/>
      </w:pPr>
    </w:p>
    <w:p w14:paraId="650F4502" w14:textId="2B3EC302" w:rsidR="00A70A14" w:rsidRPr="00A70A14" w:rsidRDefault="00615A6D" w:rsidP="00A70A14">
      <w:pPr>
        <w:pStyle w:val="commentsbox"/>
        <w:ind w:left="1080"/>
      </w:pPr>
      <w:r w:rsidRPr="009525EE">
        <w:t xml:space="preserve">This definition of Public Place is also broad enough to cover streets and sidewalks, even when those areas are not used as an event site or to provide a service to the public. If your community does </w:t>
      </w:r>
      <w:r>
        <w:t xml:space="preserve">not </w:t>
      </w:r>
      <w:r w:rsidRPr="009525EE">
        <w:t xml:space="preserve">want such a broad restriction, include the </w:t>
      </w:r>
      <w:r w:rsidRPr="009525EE">
        <w:rPr>
          <w:u w:val="double"/>
        </w:rPr>
        <w:t>double-underlined</w:t>
      </w:r>
      <w:r w:rsidRPr="009525EE">
        <w:t xml:space="preserve"> optional language. Regardless of which option you include in your ordinance, Smoking on some streets and sidewalks will be restricted by the ordinance if </w:t>
      </w:r>
      <w:r>
        <w:t xml:space="preserve">those areas </w:t>
      </w:r>
      <w:r w:rsidRPr="009525EE">
        <w:t>are within the Reasonable Distance requirement or subject to another nonsmoking law.</w:t>
      </w:r>
      <w:r w:rsidR="00A70A14">
        <w:t xml:space="preserve"> </w:t>
      </w:r>
    </w:p>
    <w:p w14:paraId="15D741D5" w14:textId="77777777" w:rsidR="00A70A14" w:rsidRDefault="00615A6D" w:rsidP="007E14FF">
      <w:pPr>
        <w:pStyle w:val="commentsbox"/>
        <w:ind w:left="1080"/>
      </w:pPr>
      <w:r w:rsidRPr="009525EE">
        <w:t xml:space="preserve">If you would like to further customize the Smoking restrictions in your community (such as restricting Smoking in certain commercial districts or establishing </w:t>
      </w:r>
      <w:r>
        <w:t>designated Smoking areas</w:t>
      </w:r>
      <w:r w:rsidRPr="009525EE">
        <w:t xml:space="preserve">), </w:t>
      </w:r>
      <w:r>
        <w:t xml:space="preserve">include the </w:t>
      </w:r>
      <w:r w:rsidR="00083509">
        <w:t xml:space="preserve">necessary </w:t>
      </w:r>
      <w:r w:rsidRPr="009525EE">
        <w:t>language</w:t>
      </w:r>
      <w:r w:rsidR="00BD7973">
        <w:t xml:space="preserve"> </w:t>
      </w:r>
      <w:r w:rsidRPr="009525EE">
        <w:t>in this subsection. Please contact ChangeLab Solutions for assistance in drafting language to fit the needs of your community.</w:t>
      </w:r>
      <w:r w:rsidR="00CC0802">
        <w:t xml:space="preserve">     </w:t>
      </w:r>
    </w:p>
    <w:p w14:paraId="7E0555A0" w14:textId="77777777" w:rsidR="00A70A14" w:rsidRDefault="00A70A14" w:rsidP="007E14FF">
      <w:pPr>
        <w:pStyle w:val="commentsbox"/>
        <w:ind w:left="1080"/>
      </w:pPr>
    </w:p>
    <w:p w14:paraId="4324855C" w14:textId="429F5F4F" w:rsidR="00083509" w:rsidRDefault="00A70A14" w:rsidP="001A7EB0">
      <w:pPr>
        <w:pStyle w:val="commentsbox"/>
        <w:ind w:left="1080"/>
      </w:pPr>
      <w:r w:rsidRPr="00A70A14">
        <w:t>Note: Although state la</w:t>
      </w:r>
      <w:r>
        <w:t>w prohibits smoking of Cannabis</w:t>
      </w:r>
      <w:r w:rsidRPr="00A70A14">
        <w:t xml:space="preserve"> in “any public place</w:t>
      </w:r>
      <w:r>
        <w:t>,”</w:t>
      </w:r>
      <w:r w:rsidRPr="00A70A14">
        <w:t xml:space="preserve"> there is no definition of this phrase</w:t>
      </w:r>
      <w:r>
        <w:t xml:space="preserve"> in the </w:t>
      </w:r>
      <w:r w:rsidR="003A384E">
        <w:t xml:space="preserve">state </w:t>
      </w:r>
      <w:r>
        <w:t>statute</w:t>
      </w:r>
      <w:r w:rsidRPr="00A70A14">
        <w:t>. While this provision is generally understood to include places open and accessible to the public, it may not be as broad or expansive as the definition of Public Place used in this Model Ordinance.</w:t>
      </w:r>
    </w:p>
    <w:p w14:paraId="6B1D045E" w14:textId="77777777" w:rsidR="00615A6D" w:rsidRPr="009525EE" w:rsidRDefault="00615A6D" w:rsidP="00615A6D">
      <w:pPr>
        <w:pStyle w:val="LevelB"/>
        <w:widowControl/>
      </w:pPr>
    </w:p>
    <w:p w14:paraId="533D8435" w14:textId="77777777" w:rsidR="00615A6D" w:rsidRPr="009525EE" w:rsidRDefault="00615A6D" w:rsidP="00B05B50">
      <w:pPr>
        <w:pStyle w:val="bullets-abc"/>
      </w:pPr>
      <w:r w:rsidRPr="009525EE">
        <w:t>(b) Nothing in this [ </w:t>
      </w:r>
      <w:r w:rsidRPr="009525EE">
        <w:rPr>
          <w:u w:val="single"/>
        </w:rPr>
        <w:t>article</w:t>
      </w:r>
      <w:r w:rsidRPr="009525EE">
        <w:t> / </w:t>
      </w:r>
      <w:r w:rsidRPr="009525EE">
        <w:rPr>
          <w:u w:val="double"/>
        </w:rPr>
        <w:t>chapter</w:t>
      </w:r>
      <w:r w:rsidRPr="009525EE">
        <w:t xml:space="preserve"> ] prohibits any Person, Employer, or Nonprofit Entity with legal control over any property from prohibiting Smoking [ </w:t>
      </w:r>
      <w:r w:rsidRPr="009525EE">
        <w:rPr>
          <w:u w:val="single"/>
        </w:rPr>
        <w:t>and Tobacco Product use</w:t>
      </w:r>
      <w:r w:rsidRPr="009525EE">
        <w:t xml:space="preserve"> ] on any part of such property, even if Smoking [ </w:t>
      </w:r>
      <w:r w:rsidRPr="009525EE">
        <w:rPr>
          <w:u w:val="single"/>
        </w:rPr>
        <w:t>or the use of Tobacco Products</w:t>
      </w:r>
      <w:r w:rsidRPr="009525EE">
        <w:t xml:space="preserve"> ] is not otherwise prohibited in that area. </w:t>
      </w:r>
    </w:p>
    <w:p w14:paraId="7A05BB0B" w14:textId="77777777" w:rsidR="00615A6D" w:rsidRDefault="00615A6D" w:rsidP="00615A6D">
      <w:pPr>
        <w:pStyle w:val="bullets-abc"/>
        <w:widowControl/>
      </w:pPr>
    </w:p>
    <w:p w14:paraId="48E59460" w14:textId="771834F5" w:rsidR="00615A6D" w:rsidRPr="009525EE" w:rsidRDefault="00E71315" w:rsidP="006E390F">
      <w:pPr>
        <w:pStyle w:val="bullets-abc"/>
      </w:pPr>
      <w:r w:rsidDel="00E71315">
        <w:t xml:space="preserve"> </w:t>
      </w:r>
      <w:r w:rsidR="00615A6D" w:rsidRPr="003A5AF1">
        <w:t>[</w:t>
      </w:r>
      <w:r w:rsidR="00615A6D">
        <w:t xml:space="preserve"> </w:t>
      </w:r>
      <w:r w:rsidR="00615A6D" w:rsidRPr="003A5AF1">
        <w:t>(</w:t>
      </w:r>
      <w:r w:rsidR="00A70A14">
        <w:t>c</w:t>
      </w:r>
      <w:r w:rsidR="00615A6D" w:rsidRPr="003A5AF1">
        <w:t xml:space="preserve">) </w:t>
      </w:r>
      <w:r w:rsidR="00615A6D" w:rsidRPr="009525EE">
        <w:rPr>
          <w:u w:val="single"/>
        </w:rPr>
        <w:t>The</w:t>
      </w:r>
      <w:r w:rsidR="00615A6D" w:rsidRPr="00D14738">
        <w:t xml:space="preserve"> </w:t>
      </w:r>
      <w:r w:rsidR="00615A6D" w:rsidRPr="00D678D4">
        <w:t>[</w:t>
      </w:r>
      <w:r w:rsidR="00615A6D">
        <w:rPr>
          <w:u w:val="single"/>
        </w:rPr>
        <w:t xml:space="preserve"> </w:t>
      </w:r>
      <w:r w:rsidR="00D24B0E">
        <w:rPr>
          <w:u w:val="single"/>
        </w:rPr>
        <w:t>d</w:t>
      </w:r>
      <w:r w:rsidR="00615A6D" w:rsidRPr="00D678D4">
        <w:rPr>
          <w:u w:val="single"/>
        </w:rPr>
        <w:t>irector of</w:t>
      </w:r>
      <w:r w:rsidR="00615A6D" w:rsidRPr="00D14738">
        <w:rPr>
          <w:caps/>
          <w:u w:val="single"/>
        </w:rPr>
        <w:t xml:space="preserve"> </w:t>
      </w:r>
      <w:r w:rsidR="00615A6D" w:rsidRPr="00D678D4">
        <w:rPr>
          <w:caps/>
          <w:u w:val="single"/>
        </w:rPr>
        <w:t xml:space="preserve">            </w:t>
      </w:r>
      <w:r w:rsidR="00615A6D" w:rsidRPr="00D14738">
        <w:rPr>
          <w:caps/>
          <w:u w:val="single"/>
        </w:rPr>
        <w:t xml:space="preserve"> </w:t>
      </w:r>
      <w:r w:rsidR="00615A6D" w:rsidRPr="00D678D4">
        <w:rPr>
          <w:caps/>
          <w:u w:val="single"/>
        </w:rPr>
        <w:t xml:space="preserve"> </w:t>
      </w:r>
      <w:r w:rsidR="00615A6D" w:rsidRPr="00D14738">
        <w:rPr>
          <w:caps/>
        </w:rPr>
        <w:t xml:space="preserve"> </w:t>
      </w:r>
      <w:r w:rsidR="00615A6D" w:rsidRPr="009525EE">
        <w:t xml:space="preserve">] </w:t>
      </w:r>
      <w:r w:rsidR="00615A6D" w:rsidRPr="009525EE">
        <w:rPr>
          <w:u w:val="single"/>
        </w:rPr>
        <w:t>or his/her designee shall conduct an ongoing educational program to explain and clarify the purposes and requirements of this</w:t>
      </w:r>
      <w:r w:rsidR="00615A6D" w:rsidRPr="009525EE">
        <w:t xml:space="preserve"> [ </w:t>
      </w:r>
      <w:r w:rsidR="00615A6D" w:rsidRPr="009525EE">
        <w:rPr>
          <w:u w:val="single"/>
        </w:rPr>
        <w:t>article</w:t>
      </w:r>
      <w:r w:rsidR="00615A6D" w:rsidRPr="009525EE">
        <w:t xml:space="preserve"> / </w:t>
      </w:r>
      <w:r w:rsidR="00615A6D" w:rsidRPr="009525EE">
        <w:rPr>
          <w:u w:val="double"/>
        </w:rPr>
        <w:t>chapter</w:t>
      </w:r>
      <w:r w:rsidR="00615A6D" w:rsidRPr="009525EE">
        <w:t xml:space="preserve"> ]</w:t>
      </w:r>
      <w:r w:rsidR="00615A6D" w:rsidRPr="009525EE">
        <w:rPr>
          <w:u w:val="single"/>
        </w:rPr>
        <w:t xml:space="preserve">, as well as to provide guidance to Persons, Employers, and Nonprofit Entities about compliance. However, lack of </w:t>
      </w:r>
      <w:r w:rsidR="00BE1FEB">
        <w:rPr>
          <w:u w:val="single"/>
        </w:rPr>
        <w:t xml:space="preserve">receiving or participating in </w:t>
      </w:r>
      <w:r w:rsidR="00615A6D" w:rsidRPr="009525EE">
        <w:rPr>
          <w:u w:val="single"/>
        </w:rPr>
        <w:t xml:space="preserve">such education </w:t>
      </w:r>
      <w:r w:rsidR="00BE1FEB">
        <w:rPr>
          <w:u w:val="single"/>
        </w:rPr>
        <w:t xml:space="preserve">program </w:t>
      </w:r>
      <w:r w:rsidR="00615A6D" w:rsidRPr="009525EE">
        <w:rPr>
          <w:u w:val="single"/>
        </w:rPr>
        <w:t xml:space="preserve">shall not be a defense to a </w:t>
      </w:r>
      <w:r w:rsidR="00615A6D" w:rsidRPr="00DD3AD9">
        <w:rPr>
          <w:u w:val="single"/>
        </w:rPr>
        <w:t>violation of this [ article / chapter ]</w:t>
      </w:r>
      <w:r w:rsidR="00615A6D" w:rsidRPr="009525EE">
        <w:rPr>
          <w:u w:val="single"/>
        </w:rPr>
        <w:t>.</w:t>
      </w:r>
      <w:r w:rsidR="00615A6D" w:rsidRPr="009525EE">
        <w:t xml:space="preserve"> ]</w:t>
      </w:r>
      <w:r w:rsidR="00615A6D" w:rsidRPr="009525EE">
        <w:rPr>
          <w:u w:val="single"/>
        </w:rPr>
        <w:t xml:space="preserve"> </w:t>
      </w:r>
    </w:p>
    <w:p w14:paraId="2A79F8A0" w14:textId="77777777" w:rsidR="00615A6D" w:rsidRPr="009525EE" w:rsidRDefault="00615A6D" w:rsidP="00615A6D">
      <w:pPr>
        <w:pStyle w:val="Center"/>
        <w:widowControl/>
        <w:tabs>
          <w:tab w:val="clear" w:pos="1080"/>
          <w:tab w:val="clear" w:pos="1440"/>
        </w:tabs>
        <w:ind w:left="1080"/>
        <w:jc w:val="left"/>
        <w:rPr>
          <w:b/>
          <w:smallCaps/>
        </w:rPr>
      </w:pPr>
    </w:p>
    <w:p w14:paraId="57FA8B5D" w14:textId="76B4A458" w:rsidR="00791782" w:rsidRPr="00B64F2D" w:rsidRDefault="00615A6D" w:rsidP="001A7EB0">
      <w:pPr>
        <w:pStyle w:val="commentsbox"/>
        <w:ind w:left="720"/>
      </w:pPr>
      <w:r w:rsidRPr="009525EE">
        <w:rPr>
          <w:b/>
          <w:caps/>
        </w:rPr>
        <w:t>comment</w:t>
      </w:r>
      <w:r w:rsidRPr="009525EE">
        <w:rPr>
          <w:b/>
          <w:smallCaps/>
        </w:rPr>
        <w:t>:</w:t>
      </w:r>
      <w:r w:rsidRPr="009525EE">
        <w:t xml:space="preserve"> This optional provision would require that the city or county provide education to those affected by this ordinance. You should identify which government official </w:t>
      </w:r>
      <w:r>
        <w:t>will</w:t>
      </w:r>
      <w:r w:rsidRPr="009525EE">
        <w:t xml:space="preserve"> be in charge of this program.</w:t>
      </w:r>
    </w:p>
    <w:p w14:paraId="41C16147" w14:textId="77777777" w:rsidR="00791782" w:rsidRDefault="00791782" w:rsidP="00791782">
      <w:pPr>
        <w:pStyle w:val="BasicParagraph"/>
        <w:widowControl/>
        <w:rPr>
          <w:b/>
        </w:rPr>
      </w:pPr>
    </w:p>
    <w:p w14:paraId="32BDA940" w14:textId="77777777" w:rsidR="00615A6D" w:rsidRPr="00E46753" w:rsidRDefault="00615A6D" w:rsidP="00615A6D">
      <w:pPr>
        <w:pStyle w:val="Heading3"/>
        <w:rPr>
          <w:rFonts w:ascii="Times New Roman" w:hAnsi="Times New Roman"/>
          <w:b/>
        </w:rPr>
      </w:pPr>
      <w:r w:rsidRPr="00E46753">
        <w:rPr>
          <w:rFonts w:ascii="Times New Roman" w:hAnsi="Times New Roman"/>
          <w:b/>
        </w:rPr>
        <w:t>Sec. [ ____ (*4) ]. REASONABLE SMOKING DISTANCE REQUIRED</w:t>
      </w:r>
      <w:r w:rsidR="005766AE">
        <w:rPr>
          <w:rFonts w:ascii="Times New Roman" w:hAnsi="Times New Roman"/>
          <w:b/>
        </w:rPr>
        <w:t>.</w:t>
      </w:r>
    </w:p>
    <w:p w14:paraId="3112C887" w14:textId="77777777" w:rsidR="00615A6D" w:rsidRPr="009525EE" w:rsidRDefault="00615A6D" w:rsidP="00615A6D">
      <w:pPr>
        <w:pStyle w:val="LevelA"/>
        <w:widowControl/>
      </w:pPr>
    </w:p>
    <w:p w14:paraId="38A3B970" w14:textId="0B11C23A" w:rsidR="00615A6D" w:rsidRPr="009525EE" w:rsidRDefault="00615A6D" w:rsidP="00615A6D">
      <w:pPr>
        <w:pStyle w:val="bullets-abc"/>
        <w:widowControl/>
      </w:pPr>
      <w:r w:rsidRPr="009525EE">
        <w:t>(a)</w:t>
      </w:r>
      <w:r w:rsidRPr="009525EE">
        <w:tab/>
        <w:t>Smoking in all Unenclosed Areas shall be prohibited within a Reasonable Distance from any doorway, window, opening, crack, or vent into an Enclosed Area in which Smoking is prohibited</w:t>
      </w:r>
      <w:r>
        <w:t xml:space="preserve"> [ </w:t>
      </w:r>
      <w:r w:rsidRPr="00D14738">
        <w:rPr>
          <w:u w:val="single"/>
        </w:rPr>
        <w:t>, except while the Person Smoking is actively passing on the way to another destination</w:t>
      </w:r>
      <w:r w:rsidRPr="00DD3AD9">
        <w:t xml:space="preserve"> </w:t>
      </w:r>
      <w:r>
        <w:t>]</w:t>
      </w:r>
      <w:r w:rsidRPr="00DD3AD9">
        <w:t>.</w:t>
      </w:r>
    </w:p>
    <w:p w14:paraId="7C0DC1B8" w14:textId="77777777" w:rsidR="00615A6D" w:rsidRPr="009525EE" w:rsidRDefault="00615A6D" w:rsidP="00615A6D">
      <w:pPr>
        <w:pStyle w:val="LevelA"/>
        <w:widowControl/>
      </w:pPr>
    </w:p>
    <w:p w14:paraId="36CDAD59" w14:textId="77777777" w:rsidR="00615A6D" w:rsidRPr="009525EE" w:rsidRDefault="00615A6D" w:rsidP="007E14FF">
      <w:pPr>
        <w:pStyle w:val="commentsbox"/>
        <w:ind w:left="720"/>
      </w:pPr>
      <w:r w:rsidRPr="009525EE">
        <w:rPr>
          <w:b/>
          <w:caps/>
        </w:rPr>
        <w:lastRenderedPageBreak/>
        <w:t>comment</w:t>
      </w:r>
      <w:r w:rsidRPr="009525EE">
        <w:rPr>
          <w:b/>
          <w:smallCaps/>
        </w:rPr>
        <w:t>:</w:t>
      </w:r>
      <w:r w:rsidRPr="009525EE">
        <w:t xml:space="preserve"> This creates a buffer zone around Enclosed smokefree areas, </w:t>
      </w:r>
      <w:r w:rsidR="00A70A14">
        <w:t xml:space="preserve">with the bracketed language </w:t>
      </w:r>
      <w:r w:rsidRPr="009525EE">
        <w:t>allowing</w:t>
      </w:r>
      <w:r>
        <w:t xml:space="preserve"> someone to smoke</w:t>
      </w:r>
      <w:r w:rsidRPr="009525EE">
        <w:t xml:space="preserve"> only if </w:t>
      </w:r>
      <w:r>
        <w:t xml:space="preserve">the smoker is </w:t>
      </w:r>
      <w:r w:rsidRPr="009525EE">
        <w:t xml:space="preserve">passing through the zone. </w:t>
      </w:r>
    </w:p>
    <w:p w14:paraId="0B8012C4" w14:textId="77777777" w:rsidR="00615A6D" w:rsidRPr="009525EE" w:rsidRDefault="00615A6D" w:rsidP="00615A6D">
      <w:pPr>
        <w:pStyle w:val="LevelA"/>
        <w:widowControl/>
      </w:pPr>
    </w:p>
    <w:p w14:paraId="4B5C9E1A" w14:textId="77777777" w:rsidR="00615A6D" w:rsidRDefault="00615A6D" w:rsidP="00615A6D">
      <w:pPr>
        <w:pStyle w:val="bullets-abc"/>
        <w:widowControl/>
      </w:pPr>
      <w:r w:rsidRPr="009525EE">
        <w:t>(b)</w:t>
      </w:r>
      <w:r w:rsidRPr="009525EE">
        <w:tab/>
        <w:t>Smoking in Unenclosed Areas shall be prohibited within a Reasonable Distance from any Unenclosed Areas in which Smoking is prohibited under Sec. [ ____ (*3) ] of this [ </w:t>
      </w:r>
      <w:r w:rsidRPr="009525EE">
        <w:rPr>
          <w:u w:val="single"/>
        </w:rPr>
        <w:t>article</w:t>
      </w:r>
      <w:r w:rsidRPr="009525EE">
        <w:t xml:space="preserve"> / </w:t>
      </w:r>
      <w:r w:rsidRPr="009525EE">
        <w:rPr>
          <w:u w:val="double"/>
        </w:rPr>
        <w:t>chapter</w:t>
      </w:r>
      <w:r w:rsidRPr="009525EE">
        <w:t> ], except while the Person Smoking is actively passing on the way to another destination</w:t>
      </w:r>
      <w:r w:rsidR="006E390F">
        <w:t>.</w:t>
      </w:r>
    </w:p>
    <w:p w14:paraId="3B2A2E6D" w14:textId="77777777" w:rsidR="00615A6D" w:rsidRPr="009525EE" w:rsidRDefault="00615A6D" w:rsidP="00615A6D">
      <w:pPr>
        <w:pStyle w:val="bullets-abc"/>
        <w:widowControl/>
      </w:pPr>
    </w:p>
    <w:p w14:paraId="33782EDA" w14:textId="4354E118" w:rsidR="00615A6D" w:rsidRDefault="007E14FF" w:rsidP="001A7EB0">
      <w:pPr>
        <w:pStyle w:val="commentsbox"/>
        <w:ind w:left="720"/>
      </w:pPr>
      <w:r w:rsidRPr="005766AE">
        <w:rPr>
          <w:b/>
          <w:caps/>
        </w:rPr>
        <w:t>comment</w:t>
      </w:r>
      <w:r w:rsidR="00615A6D" w:rsidRPr="001A7EB0">
        <w:rPr>
          <w:b/>
        </w:rPr>
        <w:t xml:space="preserve">: </w:t>
      </w:r>
      <w:r w:rsidR="00615A6D" w:rsidRPr="007E14FF">
        <w:t xml:space="preserve">This creates a buffer zone around Unenclosed smokefree areas, allowing someone to smoke only if the smoker is passing through the zone. </w:t>
      </w:r>
    </w:p>
    <w:p w14:paraId="24AA36C4" w14:textId="77777777" w:rsidR="00425D23" w:rsidRPr="009525EE" w:rsidRDefault="00425D23" w:rsidP="00615A6D">
      <w:pPr>
        <w:pStyle w:val="LevelA"/>
        <w:widowControl/>
      </w:pPr>
    </w:p>
    <w:p w14:paraId="3103C150" w14:textId="77777777" w:rsidR="00615A6D" w:rsidRPr="009525EE" w:rsidRDefault="00615A6D" w:rsidP="00615A6D">
      <w:pPr>
        <w:pStyle w:val="bullets-abc"/>
        <w:widowControl/>
        <w:ind w:hanging="454"/>
      </w:pPr>
      <w:r w:rsidRPr="003A5AF1">
        <w:t>(</w:t>
      </w:r>
      <w:r w:rsidR="002A46F8">
        <w:t>c</w:t>
      </w:r>
      <w:r w:rsidRPr="003A5AF1">
        <w:t xml:space="preserve">) </w:t>
      </w:r>
      <w:r w:rsidRPr="009525EE">
        <w:rPr>
          <w:u w:val="single"/>
        </w:rPr>
        <w:t xml:space="preserve">The prohibitions in subdivisions (a) and (b) shall not apply to Unenclosed Areas of private residential properties that are not </w:t>
      </w:r>
      <w:r w:rsidR="002B5041">
        <w:rPr>
          <w:u w:val="single"/>
        </w:rPr>
        <w:t>Multiunit</w:t>
      </w:r>
      <w:r w:rsidRPr="009525EE">
        <w:rPr>
          <w:u w:val="single"/>
        </w:rPr>
        <w:t xml:space="preserve"> Residences</w:t>
      </w:r>
      <w:r w:rsidR="006E390F">
        <w:t xml:space="preserve">. </w:t>
      </w:r>
    </w:p>
    <w:p w14:paraId="640C8F37" w14:textId="77777777" w:rsidR="00791782" w:rsidRDefault="00791782" w:rsidP="00791782">
      <w:pPr>
        <w:pStyle w:val="BasicParagraph"/>
        <w:widowControl/>
        <w:rPr>
          <w:b/>
        </w:rPr>
      </w:pPr>
    </w:p>
    <w:p w14:paraId="50DF2C16" w14:textId="77777777" w:rsidR="00615A6D" w:rsidRPr="00E46753" w:rsidRDefault="00615A6D" w:rsidP="00615A6D">
      <w:pPr>
        <w:pStyle w:val="Heading3"/>
        <w:rPr>
          <w:rFonts w:ascii="Times New Roman" w:hAnsi="Times New Roman"/>
          <w:b/>
        </w:rPr>
      </w:pPr>
      <w:r w:rsidRPr="00E46753">
        <w:rPr>
          <w:rFonts w:ascii="Times New Roman" w:hAnsi="Times New Roman"/>
          <w:b/>
        </w:rPr>
        <w:t>Sec. [ ____ (*5) ]. OTHER REQUIREMENTS AND PROHIBITIONS</w:t>
      </w:r>
      <w:r w:rsidR="005766AE">
        <w:rPr>
          <w:rFonts w:ascii="Times New Roman" w:hAnsi="Times New Roman"/>
          <w:b/>
        </w:rPr>
        <w:t>.</w:t>
      </w:r>
      <w:r w:rsidRPr="00E46753">
        <w:rPr>
          <w:rFonts w:ascii="Times New Roman" w:hAnsi="Times New Roman"/>
          <w:b/>
        </w:rPr>
        <w:t xml:space="preserve"> </w:t>
      </w:r>
    </w:p>
    <w:p w14:paraId="1CAB328B" w14:textId="77777777" w:rsidR="00615A6D" w:rsidRPr="009525EE" w:rsidRDefault="00615A6D" w:rsidP="00615A6D">
      <w:pPr>
        <w:pStyle w:val="LevelA"/>
        <w:widowControl/>
      </w:pPr>
    </w:p>
    <w:p w14:paraId="6EBEBD35" w14:textId="77777777" w:rsidR="00615A6D" w:rsidRPr="009525EE" w:rsidRDefault="00615A6D" w:rsidP="00615A6D">
      <w:pPr>
        <w:pStyle w:val="bullets-abc"/>
        <w:widowControl/>
      </w:pPr>
      <w:r w:rsidRPr="009525EE">
        <w:t>(a)</w:t>
      </w:r>
      <w:r w:rsidRPr="009525EE">
        <w:tab/>
        <w:t xml:space="preserve">No Person, Employer, or Nonprofit Entity shall knowingly permit Smoking [ </w:t>
      </w:r>
      <w:r w:rsidRPr="009525EE">
        <w:rPr>
          <w:u w:val="single"/>
        </w:rPr>
        <w:t>or the use of Tobacco Products</w:t>
      </w:r>
      <w:r w:rsidRPr="009525EE">
        <w:t xml:space="preserve"> ] in an area which is under the legal or de facto control of that Person, Employer</w:t>
      </w:r>
      <w:r>
        <w:t>,</w:t>
      </w:r>
      <w:r w:rsidRPr="009525EE">
        <w:t xml:space="preserve"> or Nonprofit Entity and in which Smoking [ </w:t>
      </w:r>
      <w:r w:rsidRPr="009525EE">
        <w:rPr>
          <w:u w:val="single"/>
        </w:rPr>
        <w:t>or the use of Tobacco Products</w:t>
      </w:r>
      <w:r w:rsidRPr="009525EE">
        <w:t xml:space="preserve"> ] is prohibited by law</w:t>
      </w:r>
      <w:r>
        <w:t>.</w:t>
      </w:r>
    </w:p>
    <w:p w14:paraId="266D9BBB" w14:textId="77777777" w:rsidR="00615A6D" w:rsidRPr="009525EE" w:rsidRDefault="00615A6D" w:rsidP="00615A6D">
      <w:pPr>
        <w:pStyle w:val="LevelA"/>
        <w:widowControl/>
      </w:pPr>
    </w:p>
    <w:p w14:paraId="55FC29FA" w14:textId="77777777" w:rsidR="00615A6D" w:rsidRPr="009525EE" w:rsidRDefault="00615A6D" w:rsidP="007E14FF">
      <w:pPr>
        <w:pStyle w:val="commentsbox"/>
        <w:ind w:left="720"/>
      </w:pPr>
      <w:r w:rsidRPr="009525EE">
        <w:rPr>
          <w:b/>
          <w:caps/>
        </w:rPr>
        <w:t>comment</w:t>
      </w:r>
      <w:r w:rsidRPr="009525EE">
        <w:rPr>
          <w:b/>
          <w:smallCaps/>
        </w:rPr>
        <w:t>:</w:t>
      </w:r>
      <w:r w:rsidRPr="009525EE">
        <w:t xml:space="preserve"> This provision makes anyone who is in control of an area responsible for any Smoking in violation of this and other </w:t>
      </w:r>
      <w:r>
        <w:t xml:space="preserve">smokefree </w:t>
      </w:r>
      <w:r w:rsidRPr="009525EE">
        <w:t xml:space="preserve">laws. Thus, enforcement actions can be taken against a Business, landlord, Employer, or Nonprofit Entity, in addition to the individual </w:t>
      </w:r>
      <w:r>
        <w:t>T</w:t>
      </w:r>
      <w:r w:rsidRPr="009525EE">
        <w:t xml:space="preserve">obacco </w:t>
      </w:r>
      <w:r>
        <w:t xml:space="preserve">Product </w:t>
      </w:r>
      <w:r w:rsidRPr="009525EE">
        <w:t>user, who or which knowingly breaks the law.</w:t>
      </w:r>
    </w:p>
    <w:p w14:paraId="45E33BE1" w14:textId="77777777" w:rsidR="00615A6D" w:rsidRPr="009525EE" w:rsidRDefault="00615A6D" w:rsidP="00615A6D">
      <w:pPr>
        <w:pStyle w:val="LevelA"/>
        <w:widowControl/>
        <w:rPr>
          <w:color w:val="000000"/>
        </w:rPr>
      </w:pPr>
    </w:p>
    <w:p w14:paraId="397CFB55" w14:textId="77777777" w:rsidR="00615A6D" w:rsidRPr="009525EE" w:rsidRDefault="00615A6D" w:rsidP="00615A6D">
      <w:pPr>
        <w:pStyle w:val="bullets-abc"/>
        <w:widowControl/>
      </w:pPr>
      <w:r w:rsidRPr="009525EE">
        <w:t>(b)</w:t>
      </w:r>
      <w:r w:rsidRPr="009525EE">
        <w:tab/>
        <w:t>No Person, Employer, or Nonprofit Entity shall knowingly or intentionally permit the presence or placement of ash receptacles, such as</w:t>
      </w:r>
      <w:r w:rsidR="006E390F">
        <w:t xml:space="preserve"> </w:t>
      </w:r>
      <w:r w:rsidRPr="009525EE">
        <w:t>ashtrays or ash</w:t>
      </w:r>
      <w:r w:rsidR="00775A94">
        <w:t xml:space="preserve"> </w:t>
      </w:r>
      <w:r w:rsidRPr="009525EE">
        <w:t>cans, within an area under the legal or de facto control of that Person, Employer</w:t>
      </w:r>
      <w:r>
        <w:t>,</w:t>
      </w:r>
      <w:r w:rsidRPr="009525EE">
        <w:t xml:space="preserve"> or Nonprofit Entity and in which Smoking [ </w:t>
      </w:r>
      <w:r w:rsidRPr="009525EE">
        <w:rPr>
          <w:u w:val="single"/>
        </w:rPr>
        <w:t>or the use of Tobacco Products</w:t>
      </w:r>
      <w:r w:rsidRPr="009525EE">
        <w:t xml:space="preserve"> ] is prohibited by law, including, without limitation, within a Reasonable Distance required by this [ </w:t>
      </w:r>
      <w:r w:rsidRPr="009525EE">
        <w:rPr>
          <w:u w:val="single"/>
        </w:rPr>
        <w:t>article</w:t>
      </w:r>
      <w:r w:rsidRPr="009525EE">
        <w:t> / </w:t>
      </w:r>
      <w:r w:rsidRPr="009525EE">
        <w:rPr>
          <w:u w:val="double"/>
        </w:rPr>
        <w:t>chapter</w:t>
      </w:r>
      <w:r w:rsidRPr="009525EE">
        <w:t xml:space="preserve"> ] from any area in which Smoking [ </w:t>
      </w:r>
      <w:r w:rsidRPr="009525EE">
        <w:rPr>
          <w:u w:val="single"/>
        </w:rPr>
        <w:t>or the use of Tobacco Products</w:t>
      </w:r>
      <w:r w:rsidRPr="009525EE">
        <w:t xml:space="preserve"> ] is prohibited. Notwithstanding the foregoing, the presence of ash receptacles in violation of this subsection shall not be a defense to a charge of Smoking [ </w:t>
      </w:r>
      <w:r w:rsidRPr="009525EE">
        <w:rPr>
          <w:u w:val="single"/>
        </w:rPr>
        <w:t>or the use of Tobacco Products</w:t>
      </w:r>
      <w:r w:rsidRPr="009525EE">
        <w:t xml:space="preserve"> ] in violation of any provision of this [ </w:t>
      </w:r>
      <w:r w:rsidRPr="009525EE">
        <w:rPr>
          <w:u w:val="single"/>
        </w:rPr>
        <w:t>article</w:t>
      </w:r>
      <w:r w:rsidRPr="009525EE">
        <w:t> / </w:t>
      </w:r>
      <w:r w:rsidRPr="009525EE">
        <w:rPr>
          <w:u w:val="double"/>
        </w:rPr>
        <w:t>chapter</w:t>
      </w:r>
      <w:r w:rsidRPr="009525EE">
        <w:t> ].</w:t>
      </w:r>
    </w:p>
    <w:p w14:paraId="0AC2C87E" w14:textId="77777777" w:rsidR="00615A6D" w:rsidRPr="009525EE" w:rsidRDefault="00615A6D" w:rsidP="00615A6D">
      <w:pPr>
        <w:pStyle w:val="bullets-abc"/>
        <w:widowControl/>
      </w:pPr>
    </w:p>
    <w:p w14:paraId="6D9250BA" w14:textId="77777777" w:rsidR="00615A6D" w:rsidRPr="009525EE" w:rsidRDefault="00615A6D" w:rsidP="00615A6D">
      <w:pPr>
        <w:pStyle w:val="bullets-abc"/>
        <w:widowControl/>
      </w:pPr>
      <w:r w:rsidRPr="009525EE">
        <w:t>(c)</w:t>
      </w:r>
      <w:r w:rsidRPr="009525EE">
        <w:tab/>
        <w:t xml:space="preserve">No Person shall dispose of used Smoking or Tobacco Product waste within the boundaries of an area in which Smoking </w:t>
      </w:r>
      <w:r>
        <w:t xml:space="preserve">[ </w:t>
      </w:r>
      <w:r w:rsidRPr="002F484D">
        <w:rPr>
          <w:u w:val="single"/>
        </w:rPr>
        <w:t>or Tobacco Product use</w:t>
      </w:r>
      <w:r>
        <w:t xml:space="preserve"> ] </w:t>
      </w:r>
      <w:r w:rsidRPr="009525EE">
        <w:t>is prohibited, including within any Reasonable Distance required by this [ </w:t>
      </w:r>
      <w:r w:rsidRPr="009525EE">
        <w:rPr>
          <w:u w:val="single"/>
        </w:rPr>
        <w:t>article</w:t>
      </w:r>
      <w:r w:rsidRPr="009525EE">
        <w:t xml:space="preserve"> / </w:t>
      </w:r>
      <w:r w:rsidRPr="009525EE">
        <w:rPr>
          <w:u w:val="double"/>
        </w:rPr>
        <w:t>chapter</w:t>
      </w:r>
      <w:r w:rsidRPr="009525EE">
        <w:t> ].</w:t>
      </w:r>
    </w:p>
    <w:p w14:paraId="212FF04D" w14:textId="77777777" w:rsidR="00615A6D" w:rsidRPr="009525EE" w:rsidRDefault="00615A6D" w:rsidP="00615A6D">
      <w:pPr>
        <w:pStyle w:val="bullets-abc"/>
        <w:widowControl/>
      </w:pPr>
    </w:p>
    <w:p w14:paraId="47226FD9" w14:textId="4792B514" w:rsidR="00615A6D" w:rsidRPr="009525EE" w:rsidRDefault="00615A6D" w:rsidP="00615A6D">
      <w:pPr>
        <w:pStyle w:val="bullets-abc"/>
        <w:widowControl/>
      </w:pPr>
      <w:r w:rsidRPr="009525EE">
        <w:lastRenderedPageBreak/>
        <w:t>(d)</w:t>
      </w:r>
      <w:r w:rsidRPr="009525EE">
        <w:tab/>
      </w:r>
      <w:r w:rsidRPr="00244987">
        <w:t xml:space="preserve">A Person, Employer, or Nonprofit Entity that has legal or de facto control of an area in which Smoking [ </w:t>
      </w:r>
      <w:r>
        <w:rPr>
          <w:u w:val="single"/>
        </w:rPr>
        <w:t>and</w:t>
      </w:r>
      <w:r w:rsidRPr="00244987">
        <w:rPr>
          <w:u w:val="single"/>
        </w:rPr>
        <w:t xml:space="preserve"> the use of Tobacco Products</w:t>
      </w:r>
      <w:r w:rsidRPr="00244987">
        <w:t xml:space="preserve"> ] is prohibited by this [ </w:t>
      </w:r>
      <w:r w:rsidRPr="00244987">
        <w:rPr>
          <w:u w:val="single"/>
        </w:rPr>
        <w:t>article</w:t>
      </w:r>
      <w:r w:rsidRPr="00244987">
        <w:t xml:space="preserve"> / </w:t>
      </w:r>
      <w:r w:rsidRPr="00244987">
        <w:rPr>
          <w:u w:val="double"/>
        </w:rPr>
        <w:t>chapter</w:t>
      </w:r>
      <w:r w:rsidRPr="00244987">
        <w:t> ] shall post a clear, conspicuous</w:t>
      </w:r>
      <w:r w:rsidR="00D24B0E">
        <w:t>,</w:t>
      </w:r>
      <w:r w:rsidRPr="00244987">
        <w:t xml:space="preserve"> and unambiguous “No Smoking” [ </w:t>
      </w:r>
      <w:r>
        <w:rPr>
          <w:u w:val="single"/>
        </w:rPr>
        <w:t>and</w:t>
      </w:r>
      <w:r w:rsidRPr="00244987">
        <w:rPr>
          <w:u w:val="single"/>
        </w:rPr>
        <w:t xml:space="preserve"> </w:t>
      </w:r>
      <w:r>
        <w:rPr>
          <w:u w:val="single"/>
        </w:rPr>
        <w:t>“</w:t>
      </w:r>
      <w:r w:rsidRPr="00244987">
        <w:rPr>
          <w:u w:val="single"/>
        </w:rPr>
        <w:t>No Use of Tobacco Products</w:t>
      </w:r>
      <w:r>
        <w:rPr>
          <w:u w:val="single"/>
        </w:rPr>
        <w:t>”</w:t>
      </w:r>
      <w:r w:rsidRPr="00244987">
        <w:t xml:space="preserve"> ] or “Smokefree” [ </w:t>
      </w:r>
      <w:r>
        <w:rPr>
          <w:u w:val="single"/>
        </w:rPr>
        <w:t>and</w:t>
      </w:r>
      <w:r w:rsidRPr="00244987">
        <w:rPr>
          <w:u w:val="single"/>
        </w:rPr>
        <w:t xml:space="preserve"> “Tobacco-Free”</w:t>
      </w:r>
      <w:r w:rsidRPr="00244987">
        <w:t xml:space="preserve"> ] sign at</w:t>
      </w:r>
      <w:r w:rsidRPr="009525EE">
        <w:t xml:space="preserve"> each point of ingress to the area, and in at least one other conspicuous point within the area. The signs shall have letters of no less than one inch in height and shall include the international “No Smoking” symbol (consisting of a pictorial representation of a burning cigarette enclosed in a red circle with a red bar across it). Signs posted on the exterior of buildings to comply with this section shall include the Reasonable Distance requirement set forth in Sec. [ ___ (*4) ]. [ </w:t>
      </w:r>
      <w:r w:rsidRPr="009525EE">
        <w:rPr>
          <w:u w:val="single"/>
        </w:rPr>
        <w:t>At least one sign with the</w:t>
      </w:r>
      <w:r w:rsidRPr="009525EE">
        <w:t xml:space="preserve"> [ </w:t>
      </w:r>
      <w:r w:rsidRPr="009525EE">
        <w:rPr>
          <w:u w:val="single"/>
        </w:rPr>
        <w:t>City</w:t>
      </w:r>
      <w:r w:rsidRPr="009525EE">
        <w:t xml:space="preserve"> / </w:t>
      </w:r>
      <w:r w:rsidRPr="009525EE">
        <w:rPr>
          <w:u w:val="double"/>
        </w:rPr>
        <w:t>County</w:t>
      </w:r>
      <w:r w:rsidRPr="009525EE">
        <w:t xml:space="preserve"> ] </w:t>
      </w:r>
      <w:r w:rsidRPr="009525EE">
        <w:rPr>
          <w:u w:val="single"/>
        </w:rPr>
        <w:t xml:space="preserve">phone number </w:t>
      </w:r>
      <w:r w:rsidR="00D82EB7">
        <w:rPr>
          <w:u w:val="single"/>
        </w:rPr>
        <w:t>for complaints</w:t>
      </w:r>
      <w:r w:rsidRPr="009525EE">
        <w:rPr>
          <w:u w:val="single"/>
        </w:rPr>
        <w:t xml:space="preserve"> must be placed conspicuously in each place in which Smoking is prohibited.</w:t>
      </w:r>
      <w:r w:rsidRPr="009525EE">
        <w:t xml:space="preserve"> ] For purposes of this section, the [ </w:t>
      </w:r>
      <w:r w:rsidRPr="009525EE">
        <w:rPr>
          <w:u w:val="single"/>
        </w:rPr>
        <w:t>City Manager</w:t>
      </w:r>
      <w:r w:rsidRPr="009525EE">
        <w:t xml:space="preserve"> / </w:t>
      </w:r>
      <w:r w:rsidRPr="009525EE">
        <w:rPr>
          <w:u w:val="double"/>
        </w:rPr>
        <w:t>County Administrative Officer</w:t>
      </w:r>
      <w:r w:rsidRPr="009525EE">
        <w:t xml:space="preserve"> ] or his/her designee shall be responsible for the posting of signs in regulated facilities owned or leased in whole or in part by the [ </w:t>
      </w:r>
      <w:r w:rsidRPr="009525EE">
        <w:rPr>
          <w:u w:val="single"/>
        </w:rPr>
        <w:t xml:space="preserve">City </w:t>
      </w:r>
      <w:r w:rsidRPr="009525EE">
        <w:t xml:space="preserve">/ </w:t>
      </w:r>
      <w:r w:rsidRPr="009525EE">
        <w:rPr>
          <w:u w:val="double"/>
        </w:rPr>
        <w:t>County</w:t>
      </w:r>
      <w:r w:rsidRPr="009525EE">
        <w:t xml:space="preserve"> ]. Notwithstanding this provision, the presence or absence of signs shall not be a defense to a charge of Smoking [ </w:t>
      </w:r>
      <w:r w:rsidRPr="009525EE">
        <w:rPr>
          <w:u w:val="single"/>
        </w:rPr>
        <w:t>or the use of Tobacco Products</w:t>
      </w:r>
      <w:r w:rsidRPr="009525EE">
        <w:t xml:space="preserve"> ] in violation of any other provision of this [ </w:t>
      </w:r>
      <w:r w:rsidRPr="009525EE">
        <w:rPr>
          <w:u w:val="single"/>
        </w:rPr>
        <w:t>article</w:t>
      </w:r>
      <w:r w:rsidRPr="009525EE">
        <w:t> / </w:t>
      </w:r>
      <w:r w:rsidRPr="009525EE">
        <w:rPr>
          <w:u w:val="double"/>
        </w:rPr>
        <w:t>chapter</w:t>
      </w:r>
      <w:r w:rsidRPr="009525EE">
        <w:t> ].</w:t>
      </w:r>
    </w:p>
    <w:p w14:paraId="0F29A250" w14:textId="77777777" w:rsidR="00615A6D" w:rsidRPr="009525EE" w:rsidRDefault="00615A6D" w:rsidP="00615A6D">
      <w:pPr>
        <w:pStyle w:val="LevelA"/>
        <w:widowControl/>
        <w:tabs>
          <w:tab w:val="clear" w:pos="720"/>
          <w:tab w:val="clear" w:pos="1440"/>
          <w:tab w:val="clear" w:pos="1800"/>
          <w:tab w:val="clear" w:pos="2160"/>
        </w:tabs>
        <w:rPr>
          <w:color w:val="000000"/>
        </w:rPr>
      </w:pPr>
    </w:p>
    <w:p w14:paraId="4B449FAB" w14:textId="77777777" w:rsidR="00615A6D" w:rsidRPr="009525EE" w:rsidRDefault="00615A6D" w:rsidP="007E14FF">
      <w:pPr>
        <w:pStyle w:val="commentsbox"/>
        <w:ind w:left="720"/>
      </w:pPr>
      <w:r w:rsidRPr="009525EE">
        <w:rPr>
          <w:b/>
          <w:caps/>
        </w:rPr>
        <w:t>comment</w:t>
      </w:r>
      <w:r w:rsidRPr="009525EE">
        <w:rPr>
          <w:b/>
          <w:smallCaps/>
        </w:rPr>
        <w:t>:</w:t>
      </w:r>
      <w:r w:rsidRPr="009525EE">
        <w:t xml:space="preserve"> Communities concerned about enforcement</w:t>
      </w:r>
      <w:r>
        <w:t>, and</w:t>
      </w:r>
      <w:r w:rsidRPr="009525EE">
        <w:t xml:space="preserve"> </w:t>
      </w:r>
      <w:r>
        <w:t xml:space="preserve">that have </w:t>
      </w:r>
      <w:r w:rsidRPr="009525EE">
        <w:t xml:space="preserve">funds to print local signs, may wish to include the bracketed sentence, which requires signs to have the phone number for complaints. Note that this </w:t>
      </w:r>
      <w:r>
        <w:t>may</w:t>
      </w:r>
      <w:r w:rsidRPr="009525EE">
        <w:t xml:space="preserve"> be more expensive than using standard signs.</w:t>
      </w:r>
    </w:p>
    <w:p w14:paraId="22AE3D56" w14:textId="77777777" w:rsidR="00615A6D" w:rsidRPr="009525EE" w:rsidRDefault="00615A6D" w:rsidP="00615A6D">
      <w:pPr>
        <w:pStyle w:val="LevelA"/>
        <w:widowControl/>
        <w:ind w:left="720"/>
        <w:rPr>
          <w:color w:val="000000"/>
        </w:rPr>
      </w:pPr>
    </w:p>
    <w:p w14:paraId="1173DA65" w14:textId="77777777" w:rsidR="00615A6D" w:rsidRPr="009525EE" w:rsidRDefault="00615A6D" w:rsidP="00615A6D">
      <w:pPr>
        <w:pStyle w:val="bullets-abc"/>
        <w:widowControl/>
      </w:pPr>
      <w:r w:rsidRPr="009525EE">
        <w:t>(e) No Person, Employer, or Nonprofit Entity shall intimidate, threaten any reprisal, or effect any reprisal, for the purpose of retaliating against another Person who seeks to attain compliance with this [ </w:t>
      </w:r>
      <w:r w:rsidRPr="009525EE">
        <w:rPr>
          <w:u w:val="single"/>
        </w:rPr>
        <w:t>article</w:t>
      </w:r>
      <w:r w:rsidRPr="009525EE">
        <w:t xml:space="preserve"> / </w:t>
      </w:r>
      <w:r w:rsidRPr="009525EE">
        <w:rPr>
          <w:u w:val="double"/>
        </w:rPr>
        <w:t>chapter</w:t>
      </w:r>
      <w:r w:rsidRPr="009525EE">
        <w:t> ].</w:t>
      </w:r>
    </w:p>
    <w:p w14:paraId="248E197A" w14:textId="77777777" w:rsidR="00615A6D" w:rsidRPr="009525EE" w:rsidRDefault="00615A6D" w:rsidP="00615A6D">
      <w:pPr>
        <w:pStyle w:val="bullets-abc"/>
        <w:widowControl/>
      </w:pPr>
    </w:p>
    <w:p w14:paraId="7A742D6A" w14:textId="77777777" w:rsidR="00615A6D" w:rsidRDefault="00615A6D" w:rsidP="00615A6D">
      <w:pPr>
        <w:pStyle w:val="bullets-abc"/>
      </w:pPr>
      <w:r w:rsidRPr="009525EE">
        <w:t xml:space="preserve">(f) </w:t>
      </w:r>
      <w:r w:rsidRPr="009525EE">
        <w:tab/>
        <w:t>Each instance of Smoking [ </w:t>
      </w:r>
      <w:r w:rsidRPr="009525EE">
        <w:rPr>
          <w:u w:val="single"/>
        </w:rPr>
        <w:t>or Tobacco Product use</w:t>
      </w:r>
      <w:r w:rsidRPr="009525EE">
        <w:t> ] in violation of this [ </w:t>
      </w:r>
      <w:r w:rsidRPr="009525EE">
        <w:rPr>
          <w:u w:val="single"/>
        </w:rPr>
        <w:t>article</w:t>
      </w:r>
      <w:r w:rsidRPr="009525EE">
        <w:t xml:space="preserve"> / </w:t>
      </w:r>
      <w:r w:rsidRPr="009525EE">
        <w:rPr>
          <w:u w:val="double"/>
        </w:rPr>
        <w:t>chapter</w:t>
      </w:r>
      <w:r w:rsidRPr="009525EE">
        <w:t> ] shall constitute a separate violation. For violations other than for Smoking, each day of a continuing violation of this [ </w:t>
      </w:r>
      <w:r w:rsidRPr="009525EE">
        <w:rPr>
          <w:u w:val="single"/>
        </w:rPr>
        <w:t>article</w:t>
      </w:r>
      <w:r w:rsidRPr="009525EE">
        <w:t xml:space="preserve"> / </w:t>
      </w:r>
      <w:r w:rsidRPr="009525EE">
        <w:rPr>
          <w:u w:val="double"/>
        </w:rPr>
        <w:t>chapter</w:t>
      </w:r>
      <w:r w:rsidRPr="009525EE">
        <w:t> ] shall constitute a separate violation.</w:t>
      </w:r>
    </w:p>
    <w:p w14:paraId="55FF4261" w14:textId="77777777" w:rsidR="002A46F8" w:rsidRDefault="002A46F8" w:rsidP="00615A6D">
      <w:pPr>
        <w:pStyle w:val="bullets-abc"/>
      </w:pPr>
    </w:p>
    <w:p w14:paraId="3B949D0B" w14:textId="62399B3A" w:rsidR="00791782" w:rsidRPr="00B64F2D" w:rsidRDefault="002A46F8" w:rsidP="001A7EB0">
      <w:pPr>
        <w:pStyle w:val="bullets-abc"/>
      </w:pPr>
      <w:r>
        <w:t xml:space="preserve">(g) Pursuant to California state law, Health and Safety Code sections 11362.3 and 11362.79, Cannabis </w:t>
      </w:r>
      <w:r w:rsidR="00504BAB">
        <w:t xml:space="preserve">Smoking </w:t>
      </w:r>
      <w:r>
        <w:t>is prohibited wherever Smoking is prohibited.</w:t>
      </w:r>
    </w:p>
    <w:p w14:paraId="4F597833" w14:textId="77777777" w:rsidR="00791782" w:rsidRDefault="00791782" w:rsidP="00791782">
      <w:pPr>
        <w:pStyle w:val="BasicParagraph"/>
        <w:widowControl/>
        <w:rPr>
          <w:b/>
        </w:rPr>
      </w:pPr>
    </w:p>
    <w:p w14:paraId="36652820" w14:textId="77777777" w:rsidR="00615A6D" w:rsidRDefault="004629F1" w:rsidP="00615A6D">
      <w:pPr>
        <w:pStyle w:val="bullets-abc"/>
        <w:ind w:left="360"/>
        <w:rPr>
          <w:b/>
        </w:rPr>
      </w:pPr>
      <w:r w:rsidRPr="006E390F">
        <w:rPr>
          <w:b/>
        </w:rPr>
        <w:t>Sec. [ ____ (*6) ]. PENALTIES AND ENFORCEMENT.</w:t>
      </w:r>
      <w:r w:rsidR="00615A6D" w:rsidRPr="00D14738">
        <w:rPr>
          <w:b/>
        </w:rPr>
        <w:t xml:space="preserve"> </w:t>
      </w:r>
    </w:p>
    <w:p w14:paraId="61C1272B" w14:textId="77777777" w:rsidR="00615A6D" w:rsidRPr="009525EE" w:rsidRDefault="00615A6D" w:rsidP="00615A6D">
      <w:pPr>
        <w:pStyle w:val="LevelA"/>
        <w:widowControl/>
        <w:tabs>
          <w:tab w:val="clear" w:pos="720"/>
          <w:tab w:val="clear" w:pos="1440"/>
        </w:tabs>
        <w:ind w:left="0" w:firstLine="0"/>
      </w:pPr>
    </w:p>
    <w:p w14:paraId="4A088AC4" w14:textId="77777777" w:rsidR="00615A6D" w:rsidRPr="009525EE" w:rsidRDefault="00615A6D" w:rsidP="00615A6D">
      <w:pPr>
        <w:pStyle w:val="bullets-abc"/>
        <w:widowControl/>
      </w:pPr>
      <w:r w:rsidRPr="009525EE">
        <w:t>(a) The remedies provided by this [ </w:t>
      </w:r>
      <w:r w:rsidRPr="009525EE">
        <w:rPr>
          <w:u w:val="single"/>
        </w:rPr>
        <w:t>article</w:t>
      </w:r>
      <w:r w:rsidRPr="009525EE">
        <w:t xml:space="preserve"> / </w:t>
      </w:r>
      <w:r w:rsidRPr="009525EE">
        <w:rPr>
          <w:u w:val="double"/>
        </w:rPr>
        <w:t>chapter</w:t>
      </w:r>
      <w:r w:rsidRPr="009525EE">
        <w:t> ] are cumulative and in addition to any other remedies available at law or in equity.</w:t>
      </w:r>
    </w:p>
    <w:p w14:paraId="44C05B7E" w14:textId="77777777" w:rsidR="00615A6D" w:rsidRPr="009525EE" w:rsidRDefault="00615A6D" w:rsidP="00615A6D">
      <w:pPr>
        <w:pStyle w:val="NormalText"/>
        <w:widowControl/>
      </w:pPr>
    </w:p>
    <w:p w14:paraId="2282C5E5" w14:textId="77777777" w:rsidR="00615A6D" w:rsidRPr="009525EE" w:rsidRDefault="00615A6D" w:rsidP="007E14FF">
      <w:pPr>
        <w:pStyle w:val="commentsbox"/>
        <w:ind w:left="810"/>
      </w:pPr>
      <w:r w:rsidRPr="009525EE">
        <w:rPr>
          <w:b/>
          <w:caps/>
        </w:rPr>
        <w:lastRenderedPageBreak/>
        <w:t>comment</w:t>
      </w:r>
      <w:r w:rsidRPr="009525EE">
        <w:rPr>
          <w:b/>
          <w:smallCaps/>
        </w:rPr>
        <w:t xml:space="preserve">: </w:t>
      </w:r>
      <w:r w:rsidRPr="009525EE">
        <w:t xml:space="preserve">The following provisions are designed to offer a variety of options to the drafter and the enforcing agency. Drafters may choose to include some or all of these options. Once the ordinance is enacted, the enforcing agency will have the discretion to choose which enforcement tools to use in general and in a particular case. As a practical matter, these enforcement options would not be applied simultaneously, although multiple remedies might be used against a particularly egregious violator over time. </w:t>
      </w:r>
    </w:p>
    <w:p w14:paraId="0DEEA2DC" w14:textId="77777777" w:rsidR="00615A6D" w:rsidRPr="009525EE" w:rsidRDefault="00615A6D" w:rsidP="00615A6D">
      <w:pPr>
        <w:pStyle w:val="LevelA"/>
        <w:widowControl/>
      </w:pPr>
    </w:p>
    <w:p w14:paraId="16EA7C09" w14:textId="77777777" w:rsidR="00615A6D" w:rsidRPr="009525EE" w:rsidRDefault="00615A6D" w:rsidP="00615A6D">
      <w:pPr>
        <w:pStyle w:val="bullets-abc"/>
        <w:widowControl/>
      </w:pPr>
      <w:r w:rsidRPr="009525EE">
        <w:t xml:space="preserve">(b) Each incident of Smoking [ </w:t>
      </w:r>
      <w:r w:rsidRPr="009525EE">
        <w:rPr>
          <w:u w:val="single"/>
        </w:rPr>
        <w:t>or use of Tobacco Products</w:t>
      </w:r>
      <w:r w:rsidRPr="009525EE">
        <w:t xml:space="preserve"> ] in violation of this [ </w:t>
      </w:r>
      <w:r w:rsidRPr="009525EE">
        <w:rPr>
          <w:u w:val="single"/>
        </w:rPr>
        <w:t>article</w:t>
      </w:r>
      <w:r w:rsidRPr="009525EE">
        <w:t xml:space="preserve"> / </w:t>
      </w:r>
      <w:r w:rsidRPr="009525EE">
        <w:rPr>
          <w:u w:val="double"/>
        </w:rPr>
        <w:t>chapter</w:t>
      </w:r>
      <w:r w:rsidRPr="009525EE">
        <w:t> ] is an infraction subject to a [ </w:t>
      </w:r>
      <w:r w:rsidRPr="009525EE">
        <w:rPr>
          <w:u w:val="single"/>
        </w:rPr>
        <w:t>one hundred dollar ($100)</w:t>
      </w:r>
      <w:r w:rsidRPr="009525EE">
        <w:t xml:space="preserve"> ] fine [ </w:t>
      </w:r>
      <w:r w:rsidRPr="009525EE">
        <w:rPr>
          <w:u w:val="single"/>
        </w:rPr>
        <w:t>or otherwise</w:t>
      </w:r>
      <w:r w:rsidRPr="009525EE">
        <w:t xml:space="preserve"> </w:t>
      </w:r>
      <w:r w:rsidRPr="009525EE">
        <w:rPr>
          <w:u w:val="single"/>
        </w:rPr>
        <w:t>punishable pursuant to section ___ of this code</w:t>
      </w:r>
      <w:r w:rsidRPr="009525EE">
        <w:t xml:space="preserve"> ]. Enforcement of this chapter shall be the responsibility of [ </w:t>
      </w:r>
      <w:r w:rsidRPr="009525EE">
        <w:rPr>
          <w:b/>
        </w:rPr>
        <w:t>____</w:t>
      </w:r>
      <w:r w:rsidRPr="009525EE">
        <w:t xml:space="preserve"> ]. In addition, any peace officer or code enforcement official also may enforce this chapter. </w:t>
      </w:r>
    </w:p>
    <w:p w14:paraId="3CA51BE5" w14:textId="77777777" w:rsidR="00615A6D" w:rsidRPr="009525EE" w:rsidRDefault="00615A6D" w:rsidP="00615A6D">
      <w:pPr>
        <w:pStyle w:val="LevelA"/>
        <w:widowControl/>
      </w:pPr>
    </w:p>
    <w:p w14:paraId="64AE17D8" w14:textId="3B6C092B" w:rsidR="00615A6D" w:rsidRPr="009525EE" w:rsidRDefault="00615A6D" w:rsidP="00E57BED">
      <w:pPr>
        <w:pStyle w:val="commentsbox"/>
        <w:ind w:left="720"/>
      </w:pPr>
      <w:r w:rsidRPr="009525EE">
        <w:rPr>
          <w:b/>
          <w:caps/>
        </w:rPr>
        <w:t>comment</w:t>
      </w:r>
      <w:r w:rsidRPr="009525EE">
        <w:rPr>
          <w:b/>
          <w:smallCaps/>
        </w:rPr>
        <w:t xml:space="preserve">: </w:t>
      </w:r>
      <w:r w:rsidRPr="009525EE">
        <w:t>The first sentence establishes the penalty for the core type of violation: Smoking where it is prohibited. The fine amount can be modified but cannot exceed $100 for a first infraction. It is separated from the main enforcement provision that follows so that law enforcement officers can simply write a ticket for illegal Smoking. This provision also designates a primary enforcement agency, which is recommended, but remains flexible by permitting any enforcement agency to enforce the law.</w:t>
      </w:r>
    </w:p>
    <w:p w14:paraId="05D5B122" w14:textId="77777777" w:rsidR="00615A6D" w:rsidRPr="009525EE" w:rsidRDefault="00615A6D" w:rsidP="00615A6D">
      <w:pPr>
        <w:pStyle w:val="LevelB"/>
        <w:widowControl/>
      </w:pPr>
    </w:p>
    <w:p w14:paraId="71F91BE6" w14:textId="77777777" w:rsidR="00615A6D" w:rsidRPr="009525EE" w:rsidRDefault="00615A6D" w:rsidP="00615A6D">
      <w:pPr>
        <w:pStyle w:val="bullets-abc"/>
        <w:widowControl/>
      </w:pPr>
      <w:r w:rsidRPr="009525EE">
        <w:t>(c) Violations of this [ </w:t>
      </w:r>
      <w:r w:rsidRPr="009525EE">
        <w:rPr>
          <w:u w:val="single"/>
        </w:rPr>
        <w:t>article</w:t>
      </w:r>
      <w:r w:rsidRPr="009525EE">
        <w:t xml:space="preserve"> / </w:t>
      </w:r>
      <w:r w:rsidRPr="009525EE">
        <w:rPr>
          <w:u w:val="double"/>
        </w:rPr>
        <w:t>chapter</w:t>
      </w:r>
      <w:r w:rsidRPr="009525EE">
        <w:t> ] are subject to a civil action brought by the [ </w:t>
      </w:r>
      <w:r w:rsidRPr="009525EE">
        <w:rPr>
          <w:u w:val="single"/>
        </w:rPr>
        <w:t>City</w:t>
      </w:r>
      <w:r w:rsidRPr="009525EE">
        <w:t xml:space="preserve"> / </w:t>
      </w:r>
      <w:r w:rsidRPr="009525EE">
        <w:rPr>
          <w:u w:val="double"/>
        </w:rPr>
        <w:t>County</w:t>
      </w:r>
      <w:r w:rsidRPr="009525EE">
        <w:t xml:space="preserve"> of </w:t>
      </w:r>
      <w:r w:rsidRPr="009525EE">
        <w:rPr>
          <w:b/>
        </w:rPr>
        <w:t>____</w:t>
      </w:r>
      <w:r w:rsidRPr="009525EE">
        <w:t> ], punishable by a civil fine not less than [ </w:t>
      </w:r>
      <w:r w:rsidRPr="009525EE">
        <w:rPr>
          <w:u w:val="single"/>
        </w:rPr>
        <w:t>two hundred fifty dollars ($250)</w:t>
      </w:r>
      <w:r w:rsidRPr="009525EE">
        <w:t> ] and not exceeding [ </w:t>
      </w:r>
      <w:r w:rsidRPr="009525EE">
        <w:rPr>
          <w:u w:val="single"/>
        </w:rPr>
        <w:t>one thousand dollars ($1,000)</w:t>
      </w:r>
      <w:r w:rsidRPr="009525EE">
        <w:t> ] per violation.</w:t>
      </w:r>
    </w:p>
    <w:p w14:paraId="7CB02962" w14:textId="77777777" w:rsidR="00615A6D" w:rsidRPr="009525EE" w:rsidRDefault="00615A6D" w:rsidP="00615A6D">
      <w:pPr>
        <w:pStyle w:val="LevelB"/>
        <w:widowControl/>
      </w:pPr>
    </w:p>
    <w:p w14:paraId="0D3084EC" w14:textId="77777777" w:rsidR="00615A6D" w:rsidRPr="009525EE" w:rsidRDefault="00615A6D" w:rsidP="006B6BFC">
      <w:pPr>
        <w:pStyle w:val="commentsbox"/>
        <w:ind w:left="720"/>
      </w:pPr>
      <w:r w:rsidRPr="009525EE">
        <w:rPr>
          <w:b/>
          <w:caps/>
        </w:rPr>
        <w:t>comment</w:t>
      </w:r>
      <w:r w:rsidRPr="009525EE">
        <w:rPr>
          <w:b/>
          <w:smallCaps/>
        </w:rPr>
        <w:t xml:space="preserve">: </w:t>
      </w:r>
      <w:r w:rsidRPr="009525EE">
        <w:t>This provision provides civil fines for violating the ordinance. It requires that a lawsuit be filed by the city or county (possibly in small claims court). The fine amounts can be adjusted but cannot exceed $1,000 per violation. See California Government Code section 36901.</w:t>
      </w:r>
    </w:p>
    <w:p w14:paraId="19681001" w14:textId="77777777" w:rsidR="00615A6D" w:rsidRPr="009525EE" w:rsidRDefault="00615A6D" w:rsidP="00615A6D">
      <w:pPr>
        <w:pStyle w:val="LevelB"/>
        <w:widowControl/>
      </w:pPr>
    </w:p>
    <w:p w14:paraId="483AA7AA" w14:textId="77777777" w:rsidR="00615A6D" w:rsidRPr="009525EE" w:rsidRDefault="00615A6D" w:rsidP="00615A6D">
      <w:pPr>
        <w:pStyle w:val="bullets-abc"/>
        <w:widowControl/>
      </w:pPr>
      <w:r w:rsidRPr="009525EE">
        <w:t xml:space="preserve">(d) </w:t>
      </w:r>
      <w:r w:rsidRPr="009525EE">
        <w:tab/>
        <w:t>Causing, permitting, aiding, abetting, or concealing a violation of any provision of this [ </w:t>
      </w:r>
      <w:r w:rsidRPr="009525EE">
        <w:rPr>
          <w:u w:val="single"/>
        </w:rPr>
        <w:t>article</w:t>
      </w:r>
      <w:r w:rsidRPr="009525EE">
        <w:t xml:space="preserve"> / </w:t>
      </w:r>
      <w:r w:rsidRPr="009525EE">
        <w:rPr>
          <w:u w:val="double"/>
        </w:rPr>
        <w:t>chapter</w:t>
      </w:r>
      <w:r w:rsidRPr="009525EE">
        <w:t> ] shall also constitute a violation of this [ </w:t>
      </w:r>
      <w:r w:rsidRPr="009525EE">
        <w:rPr>
          <w:u w:val="single"/>
        </w:rPr>
        <w:t>article</w:t>
      </w:r>
      <w:r w:rsidRPr="009525EE">
        <w:t xml:space="preserve"> / </w:t>
      </w:r>
      <w:r w:rsidRPr="009525EE">
        <w:rPr>
          <w:u w:val="double"/>
        </w:rPr>
        <w:t>chapter</w:t>
      </w:r>
      <w:r w:rsidRPr="009525EE">
        <w:t> ].</w:t>
      </w:r>
    </w:p>
    <w:p w14:paraId="0D3F1288" w14:textId="77777777" w:rsidR="00615A6D" w:rsidRPr="009525EE" w:rsidRDefault="00615A6D" w:rsidP="00615A6D">
      <w:pPr>
        <w:pStyle w:val="LevelA"/>
        <w:widowControl/>
      </w:pPr>
    </w:p>
    <w:p w14:paraId="47B6A2DA" w14:textId="77777777" w:rsidR="00615A6D" w:rsidRPr="009525EE" w:rsidRDefault="00615A6D" w:rsidP="006B6BFC">
      <w:pPr>
        <w:pStyle w:val="commentsbox"/>
        <w:ind w:left="720"/>
      </w:pPr>
      <w:r w:rsidRPr="009525EE">
        <w:rPr>
          <w:b/>
          <w:caps/>
        </w:rPr>
        <w:t>comment</w:t>
      </w:r>
      <w:r w:rsidRPr="009525EE">
        <w:rPr>
          <w:b/>
          <w:smallCaps/>
        </w:rPr>
        <w:t xml:space="preserve">: </w:t>
      </w:r>
      <w:r w:rsidRPr="009525EE">
        <w:t>This is standard language that is typically included in a city or county code and may be omitted if duplicative of existing code provisions.</w:t>
      </w:r>
    </w:p>
    <w:p w14:paraId="44926EEB" w14:textId="77777777" w:rsidR="00615A6D" w:rsidRPr="009525EE" w:rsidRDefault="00615A6D" w:rsidP="00615A6D">
      <w:pPr>
        <w:pStyle w:val="LevelA"/>
        <w:widowControl/>
      </w:pPr>
    </w:p>
    <w:p w14:paraId="40B61286" w14:textId="77777777" w:rsidR="00615A6D" w:rsidRPr="009525EE" w:rsidRDefault="00615A6D" w:rsidP="00615A6D">
      <w:pPr>
        <w:pStyle w:val="bullets-abc"/>
        <w:widowControl/>
      </w:pPr>
      <w:r w:rsidRPr="009525EE">
        <w:t xml:space="preserve">(e) </w:t>
      </w:r>
      <w:r w:rsidRPr="009525EE">
        <w:tab/>
        <w:t>Any violation of this [ </w:t>
      </w:r>
      <w:r w:rsidRPr="009525EE">
        <w:rPr>
          <w:u w:val="single"/>
        </w:rPr>
        <w:t>article</w:t>
      </w:r>
      <w:r w:rsidRPr="009525EE">
        <w:t xml:space="preserve"> / </w:t>
      </w:r>
      <w:r w:rsidRPr="009525EE">
        <w:rPr>
          <w:u w:val="double"/>
        </w:rPr>
        <w:t>chapter</w:t>
      </w:r>
      <w:r w:rsidRPr="009525EE">
        <w:t> ] is hereby declared to be a nuisance.</w:t>
      </w:r>
      <w:r w:rsidR="00C248AA">
        <w:t xml:space="preserve"> </w:t>
      </w:r>
      <w:r w:rsidRPr="009525EE">
        <w:t xml:space="preserve"> </w:t>
      </w:r>
    </w:p>
    <w:p w14:paraId="23F180C3" w14:textId="77777777" w:rsidR="00615A6D" w:rsidRPr="009525EE" w:rsidRDefault="00615A6D" w:rsidP="00615A6D">
      <w:pPr>
        <w:pStyle w:val="LevelA"/>
        <w:widowControl/>
      </w:pPr>
    </w:p>
    <w:p w14:paraId="02E589C4" w14:textId="492DB117" w:rsidR="00615A6D" w:rsidRPr="009525EE" w:rsidRDefault="00615A6D" w:rsidP="0028434D">
      <w:pPr>
        <w:pStyle w:val="commentsbox"/>
        <w:spacing w:after="240"/>
        <w:ind w:left="720"/>
      </w:pPr>
      <w:r w:rsidRPr="009525EE">
        <w:rPr>
          <w:b/>
          <w:caps/>
        </w:rPr>
        <w:t>comment</w:t>
      </w:r>
      <w:r w:rsidRPr="009525EE">
        <w:rPr>
          <w:b/>
          <w:smallCaps/>
        </w:rPr>
        <w:t xml:space="preserve">: </w:t>
      </w:r>
      <w:r w:rsidRPr="009525EE">
        <w:t>By expressly declaring that a violation of this ordinance is a nuisance, this provision allows enforcement of the ordinance by the city or county via the administrative nuisance abatement procedures commonly found in municipal codes. It also facilitates injunctive relief</w:t>
      </w:r>
      <w:r w:rsidR="00D24B0E">
        <w:t>—</w:t>
      </w:r>
      <w:r w:rsidRPr="009525EE">
        <w:t>ie, a court order compelling someone to stop the nuisance activity.</w:t>
      </w:r>
    </w:p>
    <w:p w14:paraId="3AE2DE46" w14:textId="1AC3A59D" w:rsidR="00615A6D" w:rsidRPr="009525EE" w:rsidRDefault="00615A6D" w:rsidP="006B6BFC">
      <w:pPr>
        <w:pStyle w:val="commentsbox"/>
        <w:ind w:left="720"/>
      </w:pPr>
      <w:r w:rsidRPr="009525EE">
        <w:lastRenderedPageBreak/>
        <w:t xml:space="preserve">Note that this declaration merely says that </w:t>
      </w:r>
      <w:r w:rsidRPr="009525EE">
        <w:rPr>
          <w:i/>
        </w:rPr>
        <w:t>violating</w:t>
      </w:r>
      <w:r w:rsidRPr="009525EE">
        <w:t xml:space="preserve"> the ordinance qualifies as a nuisance (eg, when Smoking in a Recreational Area, the </w:t>
      </w:r>
      <w:r w:rsidRPr="009525EE">
        <w:rPr>
          <w:i/>
        </w:rPr>
        <w:t>violation</w:t>
      </w:r>
      <w:r w:rsidRPr="009525EE">
        <w:t xml:space="preserve"> is the nuisance, not the </w:t>
      </w:r>
      <w:r w:rsidRPr="009525EE">
        <w:rPr>
          <w:i/>
        </w:rPr>
        <w:t>Smoke</w:t>
      </w:r>
      <w:r w:rsidRPr="009525EE">
        <w:t xml:space="preserve">). It is not the same thing as a local ordinance declaring Smoke a nuisance. Please </w:t>
      </w:r>
      <w:hyperlink r:id="rId10" w:history="1">
        <w:r w:rsidRPr="001A7EB0">
          <w:rPr>
            <w:rStyle w:val="Hyperlink"/>
            <w:u w:val="none"/>
          </w:rPr>
          <w:t>contact ChangeLab Solutions</w:t>
        </w:r>
      </w:hyperlink>
      <w:r w:rsidRPr="004023B3">
        <w:t xml:space="preserve"> </w:t>
      </w:r>
      <w:r w:rsidRPr="009525EE">
        <w:t>for more information on how a local ordinance can declare that all noncon</w:t>
      </w:r>
      <w:r>
        <w:t xml:space="preserve">sensual exposure to secondhand </w:t>
      </w:r>
      <w:r w:rsidR="00AB5D00">
        <w:t>smoke is a nuisance. In either case, eviction should be a remedy of last resort for nuisance complaints.</w:t>
      </w:r>
    </w:p>
    <w:p w14:paraId="2C75F482" w14:textId="77777777" w:rsidR="00615A6D" w:rsidRPr="009525EE" w:rsidRDefault="00615A6D" w:rsidP="00615A6D">
      <w:pPr>
        <w:pStyle w:val="LevelA"/>
        <w:widowControl/>
      </w:pPr>
    </w:p>
    <w:p w14:paraId="4431D7DF" w14:textId="77777777" w:rsidR="00615A6D" w:rsidRPr="009525EE" w:rsidRDefault="00615A6D" w:rsidP="00615A6D">
      <w:pPr>
        <w:pStyle w:val="bullets-abc"/>
        <w:widowControl/>
      </w:pPr>
      <w:r w:rsidRPr="009525EE">
        <w:t xml:space="preserve">(f) </w:t>
      </w:r>
      <w:r w:rsidRPr="009525EE">
        <w:tab/>
        <w:t>In addition to other remedies provided by this [ </w:t>
      </w:r>
      <w:r w:rsidRPr="009525EE">
        <w:rPr>
          <w:u w:val="single"/>
        </w:rPr>
        <w:t>article</w:t>
      </w:r>
      <w:r w:rsidRPr="009525EE">
        <w:t xml:space="preserve"> / </w:t>
      </w:r>
      <w:r w:rsidRPr="009525EE">
        <w:rPr>
          <w:u w:val="double"/>
        </w:rPr>
        <w:t>chapter</w:t>
      </w:r>
      <w:r w:rsidRPr="009525EE">
        <w:t> ] or by other law, any violation of this [ </w:t>
      </w:r>
      <w:r w:rsidRPr="009525EE">
        <w:rPr>
          <w:u w:val="single"/>
        </w:rPr>
        <w:t>article</w:t>
      </w:r>
      <w:r w:rsidRPr="009525EE">
        <w:t xml:space="preserve"> / </w:t>
      </w:r>
      <w:r w:rsidRPr="009525EE">
        <w:rPr>
          <w:u w:val="double"/>
        </w:rPr>
        <w:t>chapter</w:t>
      </w:r>
      <w:r w:rsidRPr="009525EE">
        <w:t> ] may be remedied by a civil action brought by the [ </w:t>
      </w:r>
      <w:r w:rsidRPr="009525EE">
        <w:rPr>
          <w:u w:val="single"/>
        </w:rPr>
        <w:t>City Attorney</w:t>
      </w:r>
      <w:r w:rsidRPr="009525EE">
        <w:t xml:space="preserve"> / </w:t>
      </w:r>
      <w:r w:rsidRPr="009525EE">
        <w:rPr>
          <w:u w:val="double"/>
        </w:rPr>
        <w:t>County Counsel</w:t>
      </w:r>
      <w:r w:rsidRPr="009525EE">
        <w:t> ], including, but not limited to, administrative or judicial nuisance abatement proceedings, civil or criminal code enforcement proceedings, and suits for injunctive relief.</w:t>
      </w:r>
    </w:p>
    <w:p w14:paraId="47336C24" w14:textId="77777777" w:rsidR="00615A6D" w:rsidRPr="009525EE" w:rsidRDefault="00615A6D" w:rsidP="00615A6D">
      <w:pPr>
        <w:pStyle w:val="LevelA"/>
        <w:widowControl/>
      </w:pPr>
    </w:p>
    <w:p w14:paraId="32A1CC1D" w14:textId="6AF6685C" w:rsidR="00615A6D" w:rsidRPr="009525EE" w:rsidRDefault="00615A6D" w:rsidP="004023B3">
      <w:pPr>
        <w:pStyle w:val="commentsbox"/>
        <w:ind w:left="720"/>
      </w:pPr>
      <w:r w:rsidRPr="009525EE">
        <w:rPr>
          <w:b/>
          <w:caps/>
        </w:rPr>
        <w:t>comment</w:t>
      </w:r>
      <w:r w:rsidRPr="009525EE">
        <w:rPr>
          <w:b/>
          <w:smallCaps/>
        </w:rPr>
        <w:t xml:space="preserve">: </w:t>
      </w:r>
      <w:r w:rsidRPr="009525EE">
        <w:t xml:space="preserve">It is common to provide that the local government’s lawyers may go to court to seek injunctions and other penalties in addition to fines. The express provision for injunctive relief lowers the showing required to obtain a preliminary or permanent injunction as described in </w:t>
      </w:r>
      <w:r w:rsidRPr="009525EE">
        <w:rPr>
          <w:i/>
        </w:rPr>
        <w:t>IT Corp. v. County of Imperial</w:t>
      </w:r>
      <w:r w:rsidRPr="009525EE">
        <w:t xml:space="preserve">, 35 Cal. 3d 63 (1983). </w:t>
      </w:r>
      <w:r w:rsidR="004023B3">
        <w:br/>
      </w:r>
      <w:r w:rsidR="004023B3">
        <w:br/>
      </w:r>
      <w:r w:rsidRPr="009525EE">
        <w:t>A public agency should think carefully about the nuisance abatement procedure it chooses in enforcing this ordinance after it is adopted. A local government may provide for treble damages for the second or subsequent nuisance abatement judgment within a two-year period, as long as the ordinance is enacted pursuant to Government Code section 38773.5. See Government Code section 38773.7. Treble damages are not available, however, under the alternative nuisance abatement procedures in Government Code section 38773.1 (nuisance abatement liens) and Health &amp; Safety Code section 17980 (abatement of substandard buildings). Government Code section 38773.7 (authorizing treble damages) establishes a procedure for nuisance abatement by which the cost of abatement can be collected via the property tax roll as a special assessment against the property on which the violation occurs.</w:t>
      </w:r>
    </w:p>
    <w:p w14:paraId="04203E32" w14:textId="77777777" w:rsidR="00615A6D" w:rsidRPr="009525EE" w:rsidRDefault="00615A6D" w:rsidP="00615A6D">
      <w:pPr>
        <w:pStyle w:val="LevelA"/>
        <w:widowControl/>
        <w:ind w:left="0" w:firstLine="0"/>
      </w:pPr>
    </w:p>
    <w:p w14:paraId="63FEA67B" w14:textId="0A0E724F" w:rsidR="00615A6D" w:rsidRPr="009525EE" w:rsidRDefault="00615A6D" w:rsidP="00696239">
      <w:pPr>
        <w:pStyle w:val="bullets-abc"/>
        <w:widowControl/>
        <w:ind w:hanging="346"/>
      </w:pPr>
      <w:r w:rsidRPr="009525EE">
        <w:t>(g) Any Person acting for the interests of itself, its members, or the general public (hereinafter “Private Enforcer”) may bring a civil action in any court of competent jurisdiction, including small claims court, to enforce this [ </w:t>
      </w:r>
      <w:r w:rsidRPr="009525EE">
        <w:rPr>
          <w:u w:val="single"/>
        </w:rPr>
        <w:t>article</w:t>
      </w:r>
      <w:r w:rsidRPr="009525EE">
        <w:t xml:space="preserve"> / </w:t>
      </w:r>
      <w:r w:rsidRPr="009525EE">
        <w:rPr>
          <w:u w:val="double"/>
        </w:rPr>
        <w:t>chapter</w:t>
      </w:r>
      <w:r w:rsidRPr="009525EE">
        <w:t> ] against any Person who has violated this [ </w:t>
      </w:r>
      <w:r w:rsidRPr="009525EE">
        <w:rPr>
          <w:u w:val="single"/>
        </w:rPr>
        <w:t>article</w:t>
      </w:r>
      <w:r w:rsidRPr="009525EE">
        <w:t xml:space="preserve"> / </w:t>
      </w:r>
      <w:r w:rsidRPr="009525EE">
        <w:rPr>
          <w:u w:val="double"/>
        </w:rPr>
        <w:t>chapter</w:t>
      </w:r>
      <w:r w:rsidRPr="009525EE">
        <w:t> ] two or more times. Upon proof of the violations, a court shall grant all appropriate relief, including: (1) awarding damages; and (2) issuing an injunction or a conditional judgment. [ </w:t>
      </w:r>
      <w:r w:rsidRPr="009525EE">
        <w:rPr>
          <w:u w:val="single"/>
        </w:rPr>
        <w:t>If there is insufficient or no proof of actual damages for a specific violation, the court shall award</w:t>
      </w:r>
      <w:r w:rsidRPr="009525EE">
        <w:t xml:space="preserve"> [ </w:t>
      </w:r>
      <w:r w:rsidRPr="009525EE">
        <w:rPr>
          <w:u w:val="double"/>
        </w:rPr>
        <w:t>one</w:t>
      </w:r>
      <w:r w:rsidR="005766AE">
        <w:rPr>
          <w:u w:val="double"/>
        </w:rPr>
        <w:t xml:space="preserve"> </w:t>
      </w:r>
      <w:r w:rsidRPr="009525EE">
        <w:rPr>
          <w:u w:val="double"/>
        </w:rPr>
        <w:t>hundred and fifty dollars ($150)</w:t>
      </w:r>
      <w:r w:rsidRPr="009525EE">
        <w:t xml:space="preserve"> ] </w:t>
      </w:r>
      <w:r w:rsidRPr="009525EE">
        <w:rPr>
          <w:u w:val="single"/>
        </w:rPr>
        <w:t>for each violation as statutory damages.</w:t>
      </w:r>
      <w:r w:rsidRPr="009525EE">
        <w:t> ]</w:t>
      </w:r>
    </w:p>
    <w:p w14:paraId="3B459DDE" w14:textId="77777777" w:rsidR="00615A6D" w:rsidRPr="009525EE" w:rsidRDefault="00615A6D" w:rsidP="00615A6D">
      <w:pPr>
        <w:pStyle w:val="LevelA"/>
        <w:widowControl/>
      </w:pPr>
    </w:p>
    <w:p w14:paraId="51D2BDEE" w14:textId="641BB99C" w:rsidR="00615A6D" w:rsidRPr="009525EE" w:rsidRDefault="00615A6D" w:rsidP="00E57BED">
      <w:pPr>
        <w:pStyle w:val="commentsbox"/>
        <w:ind w:left="720"/>
      </w:pPr>
      <w:r w:rsidRPr="009525EE">
        <w:rPr>
          <w:b/>
          <w:caps/>
        </w:rPr>
        <w:t>comment</w:t>
      </w:r>
      <w:r w:rsidRPr="009525EE">
        <w:rPr>
          <w:b/>
          <w:smallCaps/>
        </w:rPr>
        <w:t xml:space="preserve">: </w:t>
      </w:r>
      <w:r w:rsidRPr="009525EE">
        <w:t>This provision enables private citizens (“Private Enforcers”) to go to court</w:t>
      </w:r>
      <w:r w:rsidR="00A4798E">
        <w:t>—</w:t>
      </w:r>
      <w:r w:rsidRPr="009525EE">
        <w:t>including trial court or small claims court</w:t>
      </w:r>
      <w:r w:rsidR="00A4798E">
        <w:t>—</w:t>
      </w:r>
      <w:r w:rsidRPr="009525EE">
        <w:t xml:space="preserve">to seek </w:t>
      </w:r>
      <w:r w:rsidRPr="009525EE">
        <w:rPr>
          <w:i/>
        </w:rPr>
        <w:t>compliance</w:t>
      </w:r>
      <w:r w:rsidRPr="009525EE">
        <w:t xml:space="preserve"> with the ordinance through an injunction (a trial court order to do or not do something) or a conditional judgment (a small claims court order requiring the defendant to choose between two options</w:t>
      </w:r>
      <w:r>
        <w:t>,</w:t>
      </w:r>
      <w:r w:rsidRPr="009525EE">
        <w:t xml:space="preserve"> such as “stop </w:t>
      </w:r>
      <w:r w:rsidRPr="009525EE">
        <w:lastRenderedPageBreak/>
        <w:t>smoking or pay money”). Monetary damages are available to compensate for actual financial losses.</w:t>
      </w:r>
      <w:r w:rsidRPr="009525EE">
        <w:rPr>
          <w:caps/>
        </w:rPr>
        <w:t xml:space="preserve"> </w:t>
      </w:r>
      <w:r w:rsidRPr="009525EE">
        <w:t xml:space="preserve">If the optional last sentence is included, a court would be able to award statutory damages of $150 per violation when actual damages are difficult or impossible to prove. The amount of statutory damages can be adjusted. </w:t>
      </w:r>
      <w:r w:rsidR="00390BB7">
        <w:br/>
      </w:r>
      <w:r w:rsidR="00390BB7">
        <w:br/>
      </w:r>
      <w:r w:rsidRPr="009525EE">
        <w:t xml:space="preserve">A private citizen may bring a lawsuit against an individual or organization only for alleged </w:t>
      </w:r>
      <w:r w:rsidRPr="009525EE">
        <w:rPr>
          <w:i/>
        </w:rPr>
        <w:t>repeat</w:t>
      </w:r>
      <w:r w:rsidRPr="009525EE">
        <w:t xml:space="preserve"> violations of the law. This limitation is intended to address concerns about the potential for abusive lawsuits.</w:t>
      </w:r>
      <w:r w:rsidR="00390BB7">
        <w:br/>
      </w:r>
      <w:r w:rsidR="00390BB7">
        <w:br/>
      </w:r>
      <w:r w:rsidRPr="009525EE">
        <w:t>Note: I</w:t>
      </w:r>
      <w:r w:rsidR="00504BAB">
        <w:t>f using this subsection, it</w:t>
      </w:r>
      <w:r w:rsidRPr="009525EE">
        <w:t xml:space="preserve"> is recommended </w:t>
      </w:r>
      <w:r w:rsidR="00504BAB">
        <w:t>to include the definition of</w:t>
      </w:r>
      <w:r w:rsidRPr="009525EE">
        <w:t xml:space="preserve"> “Person”</w:t>
      </w:r>
      <w:r w:rsidR="00BD7973">
        <w:t xml:space="preserve"> </w:t>
      </w:r>
      <w:r w:rsidR="00504BAB">
        <w:t xml:space="preserve">from this </w:t>
      </w:r>
      <w:r w:rsidR="005766AE">
        <w:t>c</w:t>
      </w:r>
      <w:r w:rsidR="00504BAB">
        <w:t>ode,</w:t>
      </w:r>
      <w:r w:rsidRPr="009525EE">
        <w:t xml:space="preserve"> even if the </w:t>
      </w:r>
      <w:r w:rsidR="00504BAB">
        <w:t>municipal</w:t>
      </w:r>
      <w:r w:rsidR="001B15FC">
        <w:t xml:space="preserve"> code</w:t>
      </w:r>
      <w:r w:rsidRPr="009525EE">
        <w:t xml:space="preserve"> already contains another definition of “</w:t>
      </w:r>
      <w:r w:rsidR="00504BAB">
        <w:t>P</w:t>
      </w:r>
      <w:r w:rsidRPr="009525EE">
        <w:t>erson,” because this subsection relies on the broadly inclusive definition of “Person” in Section [ ____(*1)]</w:t>
      </w:r>
      <w:r>
        <w:t>.</w:t>
      </w:r>
    </w:p>
    <w:p w14:paraId="1CCD3A6A" w14:textId="77777777" w:rsidR="00615A6D" w:rsidRPr="009525EE" w:rsidRDefault="00615A6D" w:rsidP="00615A6D">
      <w:pPr>
        <w:pStyle w:val="LevelA"/>
        <w:widowControl/>
      </w:pPr>
    </w:p>
    <w:p w14:paraId="0846BE04" w14:textId="77777777" w:rsidR="00615A6D" w:rsidRPr="009525EE" w:rsidRDefault="00615A6D" w:rsidP="00615A6D">
      <w:pPr>
        <w:pStyle w:val="bullets-abc"/>
        <w:widowControl/>
        <w:ind w:hanging="454"/>
      </w:pPr>
      <w:r w:rsidRPr="009525EE">
        <w:t xml:space="preserve">[ </w:t>
      </w:r>
      <w:r w:rsidRPr="00607DE8">
        <w:t xml:space="preserve">(h) </w:t>
      </w:r>
      <w:r w:rsidRPr="009525EE">
        <w:rPr>
          <w:u w:val="single"/>
        </w:rPr>
        <w:t>Notwithstanding any other provision of this</w:t>
      </w:r>
      <w:r w:rsidRPr="009525EE">
        <w:t xml:space="preserve"> [ </w:t>
      </w:r>
      <w:r w:rsidRPr="009525EE">
        <w:rPr>
          <w:u w:val="single"/>
        </w:rPr>
        <w:t>article</w:t>
      </w:r>
      <w:r w:rsidRPr="009525EE">
        <w:t xml:space="preserve"> / </w:t>
      </w:r>
      <w:r w:rsidRPr="009525EE">
        <w:rPr>
          <w:u w:val="double"/>
        </w:rPr>
        <w:t>chapter</w:t>
      </w:r>
      <w:r w:rsidRPr="009525EE">
        <w:t xml:space="preserve"> ], </w:t>
      </w:r>
      <w:r w:rsidRPr="009525EE">
        <w:rPr>
          <w:u w:val="single"/>
        </w:rPr>
        <w:t>a Private Enforcer may bring a civil action to enforce this</w:t>
      </w:r>
      <w:r w:rsidRPr="009525EE">
        <w:t xml:space="preserve"> [ </w:t>
      </w:r>
      <w:r w:rsidRPr="009525EE">
        <w:rPr>
          <w:u w:val="single"/>
        </w:rPr>
        <w:t>article</w:t>
      </w:r>
      <w:r w:rsidRPr="009525EE">
        <w:t xml:space="preserve"> / </w:t>
      </w:r>
      <w:r w:rsidRPr="009525EE">
        <w:rPr>
          <w:u w:val="double"/>
        </w:rPr>
        <w:t>chapter</w:t>
      </w:r>
      <w:r w:rsidRPr="009525EE">
        <w:t xml:space="preserve"> ] </w:t>
      </w:r>
      <w:r w:rsidRPr="009525EE">
        <w:rPr>
          <w:u w:val="single"/>
        </w:rPr>
        <w:t>only if the following requirements are met:</w:t>
      </w:r>
    </w:p>
    <w:p w14:paraId="1CF45A33" w14:textId="77777777" w:rsidR="00615A6D" w:rsidRPr="009525EE" w:rsidRDefault="00615A6D" w:rsidP="00615A6D">
      <w:pPr>
        <w:pStyle w:val="LevelA"/>
        <w:widowControl/>
      </w:pPr>
    </w:p>
    <w:p w14:paraId="65351996" w14:textId="77777777" w:rsidR="00615A6D" w:rsidRPr="009525EE" w:rsidRDefault="00615A6D" w:rsidP="00B05B50">
      <w:pPr>
        <w:pStyle w:val="bullets-123"/>
      </w:pPr>
      <w:r w:rsidRPr="009525EE">
        <w:t>(1) The Private Enforcer’s civil action is begun more than [ </w:t>
      </w:r>
      <w:r w:rsidRPr="009525EE">
        <w:rPr>
          <w:u w:val="double"/>
        </w:rPr>
        <w:t>sixty (60)</w:t>
      </w:r>
      <w:r w:rsidRPr="009525EE">
        <w:t xml:space="preserve"> ] days after the Private Enforcer has given written notice of the alleged violations of this [ article / </w:t>
      </w:r>
      <w:r w:rsidRPr="009525EE">
        <w:rPr>
          <w:u w:val="double"/>
        </w:rPr>
        <w:t>chapter</w:t>
      </w:r>
      <w:r w:rsidRPr="009525EE">
        <w:t xml:space="preserve"> ] to the [ City Attorney / </w:t>
      </w:r>
      <w:r w:rsidRPr="009525EE">
        <w:rPr>
          <w:u w:val="double"/>
        </w:rPr>
        <w:t>County Counsel</w:t>
      </w:r>
      <w:r w:rsidRPr="009525EE">
        <w:t> ] and to the alleged violator</w:t>
      </w:r>
      <w:r>
        <w:t>; and</w:t>
      </w:r>
    </w:p>
    <w:p w14:paraId="41237F23" w14:textId="77777777" w:rsidR="00615A6D" w:rsidRPr="009525EE" w:rsidRDefault="00615A6D" w:rsidP="00B05B50">
      <w:pPr>
        <w:pStyle w:val="bullets-123"/>
      </w:pPr>
    </w:p>
    <w:p w14:paraId="09D12DEC" w14:textId="77777777" w:rsidR="00615A6D" w:rsidRPr="009525EE" w:rsidRDefault="00615A6D" w:rsidP="00B05B50">
      <w:pPr>
        <w:pStyle w:val="bullets-123"/>
      </w:pPr>
      <w:r w:rsidRPr="009525EE">
        <w:t xml:space="preserve">(2) On the date the Private Enforcer’s civil action is filed, no other Person acting on behalf of the [ City / </w:t>
      </w:r>
      <w:r w:rsidRPr="009525EE">
        <w:rPr>
          <w:u w:val="double"/>
        </w:rPr>
        <w:t>County</w:t>
      </w:r>
      <w:r w:rsidRPr="009525EE">
        <w:t> ] or the state has commenced or is prosecuting an administrative, civil, or criminal action based upon, in whole or in part, any violation which was the subject of the Private Enforcer’s notice</w:t>
      </w:r>
      <w:r>
        <w:t xml:space="preserve"> [ </w:t>
      </w:r>
      <w:r w:rsidRPr="00B84F6B">
        <w:rPr>
          <w:u w:val="double"/>
        </w:rPr>
        <w:t>; and</w:t>
      </w:r>
    </w:p>
    <w:p w14:paraId="38DB5FCC" w14:textId="77777777" w:rsidR="00615A6D" w:rsidRPr="009525EE" w:rsidRDefault="00615A6D" w:rsidP="00B05B50">
      <w:pPr>
        <w:pStyle w:val="bullets-123"/>
      </w:pPr>
    </w:p>
    <w:p w14:paraId="52F6DD44" w14:textId="77777777" w:rsidR="00615A6D" w:rsidRPr="009525EE" w:rsidRDefault="00615A6D" w:rsidP="00B05B50">
      <w:pPr>
        <w:pStyle w:val="bullets-123"/>
      </w:pPr>
      <w:r w:rsidRPr="009525EE">
        <w:t xml:space="preserve">[ </w:t>
      </w:r>
      <w:r w:rsidRPr="00607DE8">
        <w:t xml:space="preserve">(3) </w:t>
      </w:r>
      <w:r w:rsidRPr="009525EE">
        <w:t>A Private Enforcer shall provide a copy of his, her, or its action to the [ City Attorney / County Counsel ] within [ seven (7) ] days of filing it. ]</w:t>
      </w:r>
      <w:r>
        <w:t>.</w:t>
      </w:r>
    </w:p>
    <w:p w14:paraId="63935078" w14:textId="77777777" w:rsidR="00615A6D" w:rsidRPr="009525EE" w:rsidRDefault="00615A6D" w:rsidP="00615A6D">
      <w:pPr>
        <w:pStyle w:val="LevelA"/>
        <w:widowControl/>
        <w:ind w:left="0" w:firstLine="0"/>
      </w:pPr>
    </w:p>
    <w:p w14:paraId="2582F279" w14:textId="77777777" w:rsidR="00615A6D" w:rsidRPr="009525EE" w:rsidRDefault="00615A6D" w:rsidP="00B05B50">
      <w:pPr>
        <w:pStyle w:val="BasicParagraph"/>
        <w:widowControl/>
        <w:ind w:left="1530" w:hanging="461"/>
      </w:pPr>
      <w:r w:rsidRPr="0071760F">
        <w:t xml:space="preserve">[ (i) </w:t>
      </w:r>
      <w:r w:rsidRPr="009525EE">
        <w:rPr>
          <w:u w:val="single"/>
        </w:rPr>
        <w:t xml:space="preserve">Upon a settlement or judgment based upon, in whole or in part, any violation </w:t>
      </w:r>
      <w:r>
        <w:rPr>
          <w:u w:val="single"/>
        </w:rPr>
        <w:t>that</w:t>
      </w:r>
      <w:r w:rsidRPr="009525EE">
        <w:rPr>
          <w:u w:val="single"/>
        </w:rPr>
        <w:t xml:space="preserve"> was the subject of the Private Enforcer’s notice, the Private Enforcer shall give the</w:t>
      </w:r>
      <w:r w:rsidRPr="009525EE">
        <w:t xml:space="preserve"> [ </w:t>
      </w:r>
      <w:r w:rsidRPr="009525EE">
        <w:rPr>
          <w:u w:val="single"/>
        </w:rPr>
        <w:t>City Attorney</w:t>
      </w:r>
      <w:r w:rsidRPr="009525EE">
        <w:t xml:space="preserve"> / </w:t>
      </w:r>
      <w:r w:rsidRPr="009525EE">
        <w:rPr>
          <w:u w:val="double"/>
        </w:rPr>
        <w:t>County Counsel</w:t>
      </w:r>
      <w:r w:rsidRPr="009525EE">
        <w:t xml:space="preserve"> ] </w:t>
      </w:r>
      <w:r w:rsidRPr="009525EE">
        <w:rPr>
          <w:u w:val="single"/>
        </w:rPr>
        <w:t>notice of the settlement or judgment and final disposition of the case within</w:t>
      </w:r>
      <w:r w:rsidRPr="009525EE">
        <w:t xml:space="preserve"> [ </w:t>
      </w:r>
      <w:r w:rsidRPr="009525EE">
        <w:rPr>
          <w:u w:val="double"/>
        </w:rPr>
        <w:t>thirty (30)</w:t>
      </w:r>
      <w:r w:rsidRPr="00DD3AD9">
        <w:t> </w:t>
      </w:r>
      <w:r w:rsidRPr="009525EE">
        <w:t xml:space="preserve">] </w:t>
      </w:r>
      <w:r w:rsidRPr="009525EE">
        <w:rPr>
          <w:u w:val="single"/>
        </w:rPr>
        <w:t>days of the date of the settlement or judgment. No settlement by a Private Enforcer of a violation of this</w:t>
      </w:r>
      <w:r w:rsidRPr="009525EE">
        <w:t xml:space="preserve"> [ </w:t>
      </w:r>
      <w:r w:rsidRPr="009525EE">
        <w:rPr>
          <w:u w:val="single"/>
        </w:rPr>
        <w:t>article</w:t>
      </w:r>
      <w:r w:rsidRPr="009525EE">
        <w:t> / </w:t>
      </w:r>
      <w:r w:rsidRPr="009525EE">
        <w:rPr>
          <w:u w:val="double"/>
        </w:rPr>
        <w:t>chapter</w:t>
      </w:r>
      <w:r w:rsidRPr="009525EE">
        <w:t xml:space="preserve"> ] </w:t>
      </w:r>
      <w:r w:rsidRPr="009525EE">
        <w:rPr>
          <w:u w:val="single"/>
        </w:rPr>
        <w:t>shall be valid or enforceable if, within</w:t>
      </w:r>
      <w:r w:rsidRPr="009525EE">
        <w:t xml:space="preserve"> [ </w:t>
      </w:r>
      <w:r w:rsidRPr="009525EE">
        <w:rPr>
          <w:u w:val="single"/>
        </w:rPr>
        <w:t>thirty (30)</w:t>
      </w:r>
      <w:r w:rsidRPr="009525EE">
        <w:t xml:space="preserve"> ] </w:t>
      </w:r>
      <w:r w:rsidRPr="009525EE">
        <w:rPr>
          <w:u w:val="single"/>
        </w:rPr>
        <w:t>days of receiving notice of the settlement, the</w:t>
      </w:r>
      <w:r w:rsidRPr="009525EE">
        <w:t xml:space="preserve"> [ </w:t>
      </w:r>
      <w:r w:rsidRPr="009525EE">
        <w:rPr>
          <w:u w:val="single"/>
        </w:rPr>
        <w:t>City Attorney</w:t>
      </w:r>
      <w:r w:rsidRPr="009525EE">
        <w:t xml:space="preserve"> / </w:t>
      </w:r>
      <w:r w:rsidRPr="009525EE">
        <w:rPr>
          <w:u w:val="double"/>
        </w:rPr>
        <w:t>County Counsel</w:t>
      </w:r>
      <w:r w:rsidRPr="009525EE">
        <w:t xml:space="preserve"> ] </w:t>
      </w:r>
      <w:r w:rsidRPr="009525EE">
        <w:rPr>
          <w:u w:val="single"/>
        </w:rPr>
        <w:t>determines the settlement to be unreasonable in light of the purposes of this</w:t>
      </w:r>
      <w:r w:rsidRPr="009525EE">
        <w:t xml:space="preserve"> [ </w:t>
      </w:r>
      <w:r w:rsidRPr="009525EE">
        <w:rPr>
          <w:u w:val="single"/>
        </w:rPr>
        <w:t>article</w:t>
      </w:r>
      <w:r w:rsidRPr="009525EE">
        <w:t> / </w:t>
      </w:r>
      <w:r w:rsidRPr="009525EE">
        <w:rPr>
          <w:u w:val="double"/>
        </w:rPr>
        <w:t>chapter</w:t>
      </w:r>
      <w:r w:rsidRPr="009525EE">
        <w:t xml:space="preserve"> ]. </w:t>
      </w:r>
      <w:r w:rsidRPr="009525EE">
        <w:rPr>
          <w:u w:val="single"/>
        </w:rPr>
        <w:t>Any settlement or judgment that does not meet the requirements of this subsection may be set aside upon motion to a court of competent jurisdiction by the</w:t>
      </w:r>
      <w:r w:rsidRPr="009525EE">
        <w:t xml:space="preserve"> [ </w:t>
      </w:r>
      <w:r w:rsidRPr="009525EE">
        <w:rPr>
          <w:u w:val="single"/>
        </w:rPr>
        <w:t>City Attorney</w:t>
      </w:r>
      <w:r w:rsidRPr="009525EE">
        <w:t xml:space="preserve"> / </w:t>
      </w:r>
      <w:r w:rsidRPr="009525EE">
        <w:rPr>
          <w:u w:val="double"/>
        </w:rPr>
        <w:t>County Counsel</w:t>
      </w:r>
      <w:r w:rsidRPr="009525EE">
        <w:t> ]. ]</w:t>
      </w:r>
    </w:p>
    <w:p w14:paraId="2B9CCE7F" w14:textId="77777777" w:rsidR="00615A6D" w:rsidRDefault="00615A6D" w:rsidP="00615A6D">
      <w:pPr>
        <w:pStyle w:val="LevelA"/>
        <w:widowControl/>
        <w:ind w:left="0" w:firstLine="0"/>
      </w:pPr>
    </w:p>
    <w:p w14:paraId="39AA9D01" w14:textId="77777777" w:rsidR="00615A6D" w:rsidRDefault="00615A6D" w:rsidP="006A5CDB">
      <w:pPr>
        <w:pStyle w:val="commentsbox"/>
        <w:ind w:left="1530"/>
      </w:pPr>
      <w:r w:rsidRPr="009525EE">
        <w:rPr>
          <w:b/>
          <w:caps/>
        </w:rPr>
        <w:lastRenderedPageBreak/>
        <w:t>comment</w:t>
      </w:r>
      <w:r w:rsidRPr="009525EE">
        <w:rPr>
          <w:b/>
          <w:smallCaps/>
        </w:rPr>
        <w:t>:</w:t>
      </w:r>
      <w:r w:rsidRPr="009525EE">
        <w:t xml:space="preserve"> This optional provision enables a </w:t>
      </w:r>
      <w:r>
        <w:t>c</w:t>
      </w:r>
      <w:r w:rsidRPr="009525EE">
        <w:t xml:space="preserve">ity </w:t>
      </w:r>
      <w:r>
        <w:t>a</w:t>
      </w:r>
      <w:r w:rsidRPr="009525EE">
        <w:t xml:space="preserve">ttorney or </w:t>
      </w:r>
      <w:r>
        <w:t>c</w:t>
      </w:r>
      <w:r w:rsidRPr="009525EE">
        <w:t xml:space="preserve">ounty </w:t>
      </w:r>
      <w:r>
        <w:t>c</w:t>
      </w:r>
      <w:r w:rsidRPr="009525EE">
        <w:t xml:space="preserve">ounsel to exercise “oversight” of private citizen enforcement actions permitted in Section [ ____(*6)(g)], above. If included, this provision allows a </w:t>
      </w:r>
      <w:r>
        <w:t>c</w:t>
      </w:r>
      <w:r w:rsidRPr="009525EE">
        <w:t xml:space="preserve">ity </w:t>
      </w:r>
      <w:r>
        <w:t>a</w:t>
      </w:r>
      <w:r w:rsidRPr="009525EE">
        <w:t xml:space="preserve">ttorney or </w:t>
      </w:r>
      <w:r>
        <w:t>c</w:t>
      </w:r>
      <w:r w:rsidRPr="009525EE">
        <w:t xml:space="preserve">ounty </w:t>
      </w:r>
      <w:r>
        <w:t>c</w:t>
      </w:r>
      <w:r w:rsidRPr="009525EE">
        <w:t>ounsel to track and monitor Private Enforcer lawsuits, and if desired, pursue local government enforcement instead. This oversight provision is intended to address concerns about the potential for abusive lawsuits.</w:t>
      </w:r>
    </w:p>
    <w:p w14:paraId="6155F20C" w14:textId="77777777" w:rsidR="00615A6D" w:rsidRDefault="00615A6D" w:rsidP="006A5CDB">
      <w:pPr>
        <w:pStyle w:val="commentsbox"/>
        <w:ind w:left="1530"/>
      </w:pPr>
    </w:p>
    <w:p w14:paraId="3933A986" w14:textId="16AC6FF7" w:rsidR="00615A6D" w:rsidRDefault="00615A6D" w:rsidP="006A5CDB">
      <w:pPr>
        <w:pStyle w:val="commentsbox"/>
        <w:ind w:left="1530"/>
      </w:pPr>
      <w:r w:rsidRPr="009525EE">
        <w:t xml:space="preserve">This provision requires a Private Enforcer seeking to prosecute violations of the smokefree </w:t>
      </w:r>
      <w:r>
        <w:t xml:space="preserve">or tobacco-free </w:t>
      </w:r>
      <w:r w:rsidRPr="009525EE">
        <w:t xml:space="preserve">law to notify the </w:t>
      </w:r>
      <w:r>
        <w:t>c</w:t>
      </w:r>
      <w:r w:rsidRPr="009525EE">
        <w:t xml:space="preserve">ity </w:t>
      </w:r>
      <w:r>
        <w:t>a</w:t>
      </w:r>
      <w:r w:rsidRPr="009525EE">
        <w:t xml:space="preserve">ttorney or </w:t>
      </w:r>
      <w:r>
        <w:t>c</w:t>
      </w:r>
      <w:r w:rsidRPr="009525EE">
        <w:t xml:space="preserve">ounty </w:t>
      </w:r>
      <w:r>
        <w:t>c</w:t>
      </w:r>
      <w:r w:rsidRPr="009525EE">
        <w:t xml:space="preserve">ounsel prior to filing the lawsuit. If the optional </w:t>
      </w:r>
      <w:r w:rsidRPr="009525EE">
        <w:rPr>
          <w:u w:val="double"/>
        </w:rPr>
        <w:t>double-underlined</w:t>
      </w:r>
      <w:r w:rsidRPr="009525EE">
        <w:t xml:space="preserve"> language is included, it would also require the Private Enforcer to share a copy of the complaint with the </w:t>
      </w:r>
      <w:r>
        <w:t>c</w:t>
      </w:r>
      <w:r w:rsidRPr="009525EE">
        <w:t xml:space="preserve">ity </w:t>
      </w:r>
      <w:r w:rsidR="00427231">
        <w:t>a</w:t>
      </w:r>
      <w:r w:rsidRPr="009525EE">
        <w:t xml:space="preserve">ttorney or </w:t>
      </w:r>
      <w:r>
        <w:t>c</w:t>
      </w:r>
      <w:r w:rsidRPr="009525EE">
        <w:t xml:space="preserve">ounty </w:t>
      </w:r>
      <w:r>
        <w:t>c</w:t>
      </w:r>
      <w:r w:rsidRPr="009525EE">
        <w:t xml:space="preserve">ounsel. No affirmative action is required by the </w:t>
      </w:r>
      <w:r>
        <w:t>c</w:t>
      </w:r>
      <w:r w:rsidRPr="009525EE">
        <w:t xml:space="preserve">ity </w:t>
      </w:r>
      <w:r>
        <w:t>a</w:t>
      </w:r>
      <w:r w:rsidRPr="009525EE">
        <w:t xml:space="preserve">ttorney or </w:t>
      </w:r>
      <w:r>
        <w:t>c</w:t>
      </w:r>
      <w:r w:rsidRPr="009525EE">
        <w:t xml:space="preserve">ounty </w:t>
      </w:r>
      <w:r>
        <w:t>c</w:t>
      </w:r>
      <w:r w:rsidRPr="009525EE">
        <w:t>ounsel upon receipt of any of these documents; responding is optional.</w:t>
      </w:r>
    </w:p>
    <w:p w14:paraId="0DFB5A7E" w14:textId="77777777" w:rsidR="00615A6D" w:rsidRDefault="00615A6D" w:rsidP="006A5CDB">
      <w:pPr>
        <w:pStyle w:val="commentsbox"/>
        <w:ind w:left="1530"/>
      </w:pPr>
    </w:p>
    <w:p w14:paraId="7ECB3AF5" w14:textId="77777777" w:rsidR="00615A6D" w:rsidRDefault="00615A6D" w:rsidP="006A5CDB">
      <w:pPr>
        <w:pStyle w:val="commentsbox"/>
        <w:ind w:left="1530"/>
      </w:pPr>
      <w:r w:rsidRPr="009525EE">
        <w:t xml:space="preserve">The last part of this subsection requires the Private Enforcer to submit a copy of the final settlement or judgment to the </w:t>
      </w:r>
      <w:r>
        <w:t>c</w:t>
      </w:r>
      <w:r w:rsidRPr="009525EE">
        <w:t xml:space="preserve">ity </w:t>
      </w:r>
      <w:r>
        <w:t>a</w:t>
      </w:r>
      <w:r w:rsidRPr="009525EE">
        <w:t xml:space="preserve">ttorney or </w:t>
      </w:r>
      <w:r>
        <w:t>c</w:t>
      </w:r>
      <w:r w:rsidRPr="009525EE">
        <w:t xml:space="preserve">ounty </w:t>
      </w:r>
      <w:r>
        <w:t>c</w:t>
      </w:r>
      <w:r w:rsidRPr="009525EE">
        <w:t xml:space="preserve">ounsel. The </w:t>
      </w:r>
      <w:r>
        <w:t>c</w:t>
      </w:r>
      <w:r w:rsidRPr="009525EE">
        <w:t xml:space="preserve">ity </w:t>
      </w:r>
      <w:r>
        <w:t>a</w:t>
      </w:r>
      <w:r w:rsidRPr="009525EE">
        <w:t xml:space="preserve">ttorney or </w:t>
      </w:r>
      <w:r>
        <w:t>c</w:t>
      </w:r>
      <w:r w:rsidRPr="009525EE">
        <w:t xml:space="preserve">ounty </w:t>
      </w:r>
      <w:r>
        <w:t>c</w:t>
      </w:r>
      <w:r w:rsidRPr="009525EE">
        <w:t xml:space="preserve">ounsel then has the opportunity to review and evaluate settlement agreements (but not court-issued judgments) to assess whether such agreements are reasonably designed to address the violation of the law. This is designed to avoid potentially collusive or otherwise abusive settlement agreements (“sweetheart deals”). Finally, the </w:t>
      </w:r>
      <w:r>
        <w:t>c</w:t>
      </w:r>
      <w:r w:rsidRPr="009525EE">
        <w:t xml:space="preserve">ity </w:t>
      </w:r>
      <w:r>
        <w:t>a</w:t>
      </w:r>
      <w:r w:rsidRPr="009525EE">
        <w:t xml:space="preserve">ttorney or </w:t>
      </w:r>
      <w:r>
        <w:t>c</w:t>
      </w:r>
      <w:r w:rsidRPr="009525EE">
        <w:t xml:space="preserve">ounty </w:t>
      </w:r>
      <w:r>
        <w:t>c</w:t>
      </w:r>
      <w:r w:rsidRPr="009525EE">
        <w:t>ounsel also has the authority to set aside a court judgment if the Private Enforcer fails to comply with the requisite notice requirements.</w:t>
      </w:r>
      <w:r w:rsidRPr="009525EE">
        <w:rPr>
          <w:caps/>
        </w:rPr>
        <w:t xml:space="preserve"> </w:t>
      </w:r>
    </w:p>
    <w:p w14:paraId="55A1C921" w14:textId="77777777" w:rsidR="00615A6D" w:rsidRPr="009525EE" w:rsidRDefault="00615A6D" w:rsidP="00615A6D">
      <w:pPr>
        <w:pStyle w:val="LevelA"/>
        <w:widowControl/>
        <w:ind w:left="0" w:firstLine="0"/>
        <w:rPr>
          <w:u w:val="single"/>
        </w:rPr>
      </w:pPr>
    </w:p>
    <w:p w14:paraId="3AADE835" w14:textId="77777777" w:rsidR="00615A6D" w:rsidRPr="009525EE" w:rsidRDefault="00615A6D" w:rsidP="00615A6D">
      <w:pPr>
        <w:pStyle w:val="bullets-abc"/>
        <w:widowControl/>
        <w:ind w:hanging="454"/>
      </w:pPr>
      <w:r w:rsidRPr="009525EE">
        <w:t xml:space="preserve">[ </w:t>
      </w:r>
      <w:r w:rsidRPr="00607DE8">
        <w:t>(</w:t>
      </w:r>
      <w:r>
        <w:t>j</w:t>
      </w:r>
      <w:r w:rsidRPr="00607DE8">
        <w:t xml:space="preserve">) </w:t>
      </w:r>
      <w:r w:rsidRPr="009525EE">
        <w:rPr>
          <w:u w:val="single"/>
        </w:rPr>
        <w:t>Except as otherwise provided, enforcement of this [ article / chapter ] is at the sole discretion of the [ City / County ]. Nothing in this [ article / chapter ] shall create a right of action in any Person against the [ City / County ] or its agents to compel public enforcement of this [ article / chapter ] against private parties.</w:t>
      </w:r>
      <w:r w:rsidRPr="009525EE">
        <w:t xml:space="preserve"> ]</w:t>
      </w:r>
    </w:p>
    <w:p w14:paraId="3CB1FE57" w14:textId="77777777" w:rsidR="00615A6D" w:rsidRPr="009525EE" w:rsidRDefault="00615A6D" w:rsidP="00615A6D">
      <w:pPr>
        <w:pStyle w:val="LevelA"/>
        <w:widowControl/>
      </w:pPr>
    </w:p>
    <w:p w14:paraId="5A75AF01" w14:textId="7050057C" w:rsidR="00791782" w:rsidRPr="00B64F2D" w:rsidRDefault="00615A6D" w:rsidP="001A7EB0">
      <w:pPr>
        <w:pStyle w:val="commentsbox"/>
        <w:ind w:left="720"/>
      </w:pPr>
      <w:r w:rsidRPr="009525EE">
        <w:rPr>
          <w:b/>
          <w:caps/>
        </w:rPr>
        <w:t>comment</w:t>
      </w:r>
      <w:r w:rsidRPr="009525EE">
        <w:rPr>
          <w:b/>
          <w:smallCaps/>
        </w:rPr>
        <w:t>:</w:t>
      </w:r>
      <w:r w:rsidRPr="009525EE">
        <w:t xml:space="preserve"> This is an optional provision, which makes clear that a </w:t>
      </w:r>
      <w:r>
        <w:t>c</w:t>
      </w:r>
      <w:r w:rsidRPr="009525EE">
        <w:t xml:space="preserve">ity or </w:t>
      </w:r>
      <w:r>
        <w:t>c</w:t>
      </w:r>
      <w:r w:rsidRPr="009525EE">
        <w:t>ounty cannot be liable to any Person for failure to enforce the restrictions in this ordinance.</w:t>
      </w:r>
    </w:p>
    <w:p w14:paraId="6FC792E6" w14:textId="77777777" w:rsidR="00791782" w:rsidRDefault="00791782" w:rsidP="00791782">
      <w:pPr>
        <w:pStyle w:val="BasicParagraph"/>
        <w:widowControl/>
        <w:rPr>
          <w:b/>
        </w:rPr>
      </w:pPr>
    </w:p>
    <w:p w14:paraId="565B8414" w14:textId="77777777" w:rsidR="00615A6D" w:rsidRDefault="00615A6D" w:rsidP="00615A6D">
      <w:pPr>
        <w:pStyle w:val="bullets-abc"/>
        <w:ind w:left="360"/>
        <w:rPr>
          <w:b/>
        </w:rPr>
      </w:pPr>
      <w:r>
        <w:rPr>
          <w:b/>
        </w:rPr>
        <w:t>Sec. [ ____ (*7</w:t>
      </w:r>
      <w:r w:rsidRPr="00D14738">
        <w:rPr>
          <w:b/>
        </w:rPr>
        <w:t xml:space="preserve">) ]. </w:t>
      </w:r>
      <w:r>
        <w:rPr>
          <w:b/>
        </w:rPr>
        <w:t>OTHER LAWS</w:t>
      </w:r>
      <w:r w:rsidRPr="00D14738">
        <w:rPr>
          <w:b/>
        </w:rPr>
        <w:t xml:space="preserve">. </w:t>
      </w:r>
    </w:p>
    <w:p w14:paraId="0FE6DD4B" w14:textId="77777777" w:rsidR="00615A6D" w:rsidRDefault="00615A6D" w:rsidP="00615A6D">
      <w:pPr>
        <w:pStyle w:val="BasicParagraph"/>
        <w:widowControl/>
        <w:rPr>
          <w:b/>
        </w:rPr>
      </w:pPr>
    </w:p>
    <w:p w14:paraId="26C43A8C" w14:textId="77777777" w:rsidR="00615A6D" w:rsidRDefault="00615A6D" w:rsidP="006E390F">
      <w:pPr>
        <w:pStyle w:val="BasicParagraph"/>
        <w:numPr>
          <w:ilvl w:val="0"/>
          <w:numId w:val="25"/>
        </w:numPr>
      </w:pPr>
      <w:r w:rsidRPr="0052048D">
        <w:t xml:space="preserve">It is not the intention of this </w:t>
      </w:r>
      <w:r w:rsidRPr="009525EE">
        <w:t>[ </w:t>
      </w:r>
      <w:r w:rsidRPr="009525EE">
        <w:rPr>
          <w:u w:val="single"/>
        </w:rPr>
        <w:t>article</w:t>
      </w:r>
      <w:r w:rsidRPr="009525EE">
        <w:t xml:space="preserve"> / </w:t>
      </w:r>
      <w:r w:rsidRPr="009525EE">
        <w:rPr>
          <w:u w:val="double"/>
        </w:rPr>
        <w:t>chapter</w:t>
      </w:r>
      <w:r w:rsidRPr="009525EE">
        <w:t xml:space="preserve"> ] </w:t>
      </w:r>
      <w:r w:rsidRPr="0052048D">
        <w:t xml:space="preserve">to regulate </w:t>
      </w:r>
      <w:r>
        <w:t>any conduct</w:t>
      </w:r>
      <w:r w:rsidRPr="0052048D">
        <w:t xml:space="preserve"> where the regulation of such conduct has been preempted by the State of California.</w:t>
      </w:r>
    </w:p>
    <w:p w14:paraId="5106DE75" w14:textId="77777777" w:rsidR="00901DFD" w:rsidRDefault="00901DFD" w:rsidP="006E390F">
      <w:pPr>
        <w:pStyle w:val="BasicParagraph"/>
        <w:numPr>
          <w:ilvl w:val="0"/>
          <w:numId w:val="25"/>
        </w:numPr>
      </w:pPr>
      <w:r w:rsidRPr="00901DFD">
        <w:t>Notwithstanding any provision to the contrary, nothing in this ordinance shall be interpreted to restrict or otherwise regulate the use of a drug, device, or combination product authorized for sale by the United States Food and Drug Administration, as those terms are defined in the Federal Food, Drug, and Cosmetic Act.</w:t>
      </w:r>
    </w:p>
    <w:p w14:paraId="0F9100EE" w14:textId="77777777" w:rsidR="00615A6D" w:rsidRDefault="00615A6D" w:rsidP="00615A6D">
      <w:pPr>
        <w:pStyle w:val="BasicParagraph"/>
        <w:widowControl/>
      </w:pPr>
    </w:p>
    <w:p w14:paraId="48DD5672" w14:textId="77777777" w:rsidR="00615A6D" w:rsidRDefault="00615A6D" w:rsidP="006A5CDB">
      <w:pPr>
        <w:pStyle w:val="commentsbox"/>
      </w:pPr>
      <w:r w:rsidRPr="009525EE">
        <w:rPr>
          <w:b/>
          <w:caps/>
        </w:rPr>
        <w:t>comment</w:t>
      </w:r>
      <w:r w:rsidRPr="009525EE">
        <w:rPr>
          <w:b/>
          <w:smallCaps/>
        </w:rPr>
        <w:t>:</w:t>
      </w:r>
      <w:r w:rsidRPr="009525EE">
        <w:t xml:space="preserve"> </w:t>
      </w:r>
      <w:r>
        <w:t xml:space="preserve">This section clarifies that the local jurisdiction does not intend to regulate activity if the regulation of such activity is preempted by state law. </w:t>
      </w:r>
      <w:r w:rsidRPr="009525EE">
        <w:t>Labor Code section 6404.5</w:t>
      </w:r>
      <w:r>
        <w:t xml:space="preserve"> preempts local </w:t>
      </w:r>
      <w:r>
        <w:lastRenderedPageBreak/>
        <w:t xml:space="preserve">governments from adopting smoking prohibitions in areas that are required to be smokefree by the state law. Local jurisdictions, however, are free to enact prohibitions that are stricter or more comprehensive than state law. For example, local jurisdictions may designate as smokefree areas that are not covered by the state smokefree workplace law, such as outdoor workplaces. Additionally, local jurisdictions may prohibit the use of </w:t>
      </w:r>
      <w:r w:rsidRPr="00566A70">
        <w:rPr>
          <w:i/>
        </w:rPr>
        <w:t>all</w:t>
      </w:r>
      <w:r>
        <w:t xml:space="preserve"> tobacco products, including </w:t>
      </w:r>
      <w:r w:rsidR="00BC7CA6">
        <w:t>e</w:t>
      </w:r>
      <w:r>
        <w:t xml:space="preserve">lectronic </w:t>
      </w:r>
      <w:r w:rsidR="00BC7CA6">
        <w:t>s</w:t>
      </w:r>
      <w:r>
        <w:t xml:space="preserve">moking </w:t>
      </w:r>
      <w:r w:rsidR="00BC7CA6">
        <w:t>d</w:t>
      </w:r>
      <w:r>
        <w:t xml:space="preserve">evices and smokeless </w:t>
      </w:r>
      <w:r w:rsidRPr="00D42E0D">
        <w:t xml:space="preserve">tobacco </w:t>
      </w:r>
      <w:r>
        <w:t xml:space="preserve">products, </w:t>
      </w:r>
      <w:r w:rsidRPr="00566A70">
        <w:t>anywhere</w:t>
      </w:r>
      <w:r>
        <w:t xml:space="preserve"> </w:t>
      </w:r>
      <w:r w:rsidRPr="00566A70">
        <w:t>in the jurisdiction,</w:t>
      </w:r>
      <w:r w:rsidRPr="00D42E0D">
        <w:t xml:space="preserve"> even in areas where </w:t>
      </w:r>
      <w:r w:rsidRPr="00566A70">
        <w:t>conventional smoking</w:t>
      </w:r>
      <w:r>
        <w:t xml:space="preserve"> is prohibited by state law. </w:t>
      </w:r>
      <w:r>
        <w:br/>
      </w:r>
      <w:r>
        <w:br/>
        <w:t xml:space="preserve">Together with state law, a local jurisdiction can create a more comprehensive smokefree (or tobacco-free) community. This section (and comment) simply addresses the issue of whether a local jurisdiction will enforce </w:t>
      </w:r>
      <w:r w:rsidRPr="00371B07">
        <w:rPr>
          <w:i/>
        </w:rPr>
        <w:t>state</w:t>
      </w:r>
      <w:r>
        <w:t xml:space="preserve"> or </w:t>
      </w:r>
      <w:r w:rsidRPr="00371B07">
        <w:rPr>
          <w:i/>
        </w:rPr>
        <w:t>local</w:t>
      </w:r>
      <w:r>
        <w:t xml:space="preserve"> law.</w:t>
      </w:r>
    </w:p>
    <w:p w14:paraId="6E4A1ECA" w14:textId="77777777" w:rsidR="00615A6D" w:rsidRPr="00B64F2D" w:rsidRDefault="00615A6D" w:rsidP="00615A6D">
      <w:pPr>
        <w:pStyle w:val="BasicParagraph"/>
        <w:rPr>
          <w:lang w:bidi="ar-SA"/>
        </w:rPr>
      </w:pPr>
    </w:p>
    <w:p w14:paraId="2C8C213F" w14:textId="77777777" w:rsidR="00615A6D" w:rsidRDefault="00615A6D" w:rsidP="00615A6D">
      <w:pPr>
        <w:pStyle w:val="BasicParagraph"/>
        <w:widowControl/>
      </w:pPr>
      <w:r w:rsidRPr="009525EE">
        <w:rPr>
          <w:b/>
        </w:rPr>
        <w:t>SECTION I</w:t>
      </w:r>
      <w:r w:rsidR="005457D6">
        <w:rPr>
          <w:b/>
        </w:rPr>
        <w:t>I</w:t>
      </w:r>
      <w:r w:rsidRPr="009525EE">
        <w:rPr>
          <w:b/>
        </w:rPr>
        <w:t>I. STATUTORY CONSTRUCTION &amp; SEVERABILITY</w:t>
      </w:r>
      <w:r w:rsidR="00427231">
        <w:rPr>
          <w:b/>
        </w:rPr>
        <w:t>.</w:t>
      </w:r>
    </w:p>
    <w:p w14:paraId="16E43D17" w14:textId="77777777" w:rsidR="00615A6D" w:rsidRDefault="00615A6D" w:rsidP="00615A6D">
      <w:pPr>
        <w:pStyle w:val="BasicParagraph"/>
        <w:widowControl/>
      </w:pPr>
    </w:p>
    <w:p w14:paraId="4D084E9B" w14:textId="77777777" w:rsidR="00615A6D" w:rsidRDefault="00615A6D" w:rsidP="00B05B50">
      <w:pPr>
        <w:pStyle w:val="BasicParagraph"/>
      </w:pPr>
      <w:r w:rsidRPr="009525EE">
        <w:t>It is the intent of the [ </w:t>
      </w:r>
      <w:r w:rsidRPr="009525EE">
        <w:rPr>
          <w:u w:val="single"/>
        </w:rPr>
        <w:t>City Council</w:t>
      </w:r>
      <w:r w:rsidRPr="009525EE">
        <w:t xml:space="preserve"> / </w:t>
      </w:r>
      <w:r w:rsidRPr="009525EE">
        <w:rPr>
          <w:u w:val="double"/>
        </w:rPr>
        <w:t>Board of Supervisors</w:t>
      </w:r>
      <w:r w:rsidRPr="009525EE">
        <w:t> ] of the [ </w:t>
      </w:r>
      <w:r w:rsidRPr="009525EE">
        <w:rPr>
          <w:u w:val="single"/>
        </w:rPr>
        <w:t>City</w:t>
      </w:r>
      <w:r w:rsidRPr="009525EE">
        <w:t xml:space="preserve"> / </w:t>
      </w:r>
      <w:r w:rsidRPr="009525EE">
        <w:rPr>
          <w:u w:val="double"/>
        </w:rPr>
        <w:t>County</w:t>
      </w:r>
      <w:r w:rsidRPr="009525EE">
        <w:t> ] of [ ____ ] to supplement applicable state and federal law and not to duplicate or contradict such law and this ordinance shall be construed consistently with that intention. If any section, subsection, subdivision, paragraph, sentence, clause</w:t>
      </w:r>
      <w:r>
        <w:t>,</w:t>
      </w:r>
      <w:r w:rsidRPr="009525EE">
        <w:t xml:space="preserve"> or phrase of this ordinance, or its application to any </w:t>
      </w:r>
      <w:r>
        <w:t>P</w:t>
      </w:r>
      <w:r w:rsidRPr="009525EE">
        <w:t>erson or circumstance, is for any reason held to be invalid or unenforceable, such invalidity or unenforceability shall not affect the validity or enforceability of the remaining sections, subsections, subdivisions, paragraphs, sentences, clauses</w:t>
      </w:r>
      <w:r>
        <w:t>,</w:t>
      </w:r>
      <w:r w:rsidRPr="009525EE">
        <w:t xml:space="preserve"> or phrases of this ordinance, or its application to any other </w:t>
      </w:r>
      <w:r>
        <w:t>P</w:t>
      </w:r>
      <w:r w:rsidRPr="009525EE">
        <w:t>erson or circumstance. The [ </w:t>
      </w:r>
      <w:r w:rsidRPr="009525EE">
        <w:rPr>
          <w:u w:val="single"/>
        </w:rPr>
        <w:t>City Council</w:t>
      </w:r>
      <w:r w:rsidRPr="009525EE">
        <w:t xml:space="preserve"> / </w:t>
      </w:r>
      <w:r w:rsidRPr="009525EE">
        <w:rPr>
          <w:u w:val="double"/>
        </w:rPr>
        <w:t>Board of Supervisors</w:t>
      </w:r>
      <w:r w:rsidRPr="009525EE">
        <w:t> ] of the [ </w:t>
      </w:r>
      <w:r w:rsidRPr="009525EE">
        <w:rPr>
          <w:u w:val="single"/>
        </w:rPr>
        <w:t>City</w:t>
      </w:r>
      <w:r w:rsidRPr="009525EE">
        <w:t xml:space="preserve"> / </w:t>
      </w:r>
      <w:r w:rsidRPr="009525EE">
        <w:rPr>
          <w:u w:val="double"/>
        </w:rPr>
        <w:t>County</w:t>
      </w:r>
      <w:r w:rsidRPr="009525EE">
        <w:t> ] of [ ____ ] hereby declares that it would have adopted each section, subsection, subdivision, paragraph, sentence, clause</w:t>
      </w:r>
      <w:r>
        <w:t>,</w:t>
      </w:r>
      <w:r w:rsidRPr="009525EE">
        <w:t xml:space="preserve"> or phrase hereof independently, irrespective of the fact that any one or more other sections, subsec</w:t>
      </w:r>
      <w:r w:rsidRPr="009525EE">
        <w:softHyphen/>
        <w:t>tions, subdivisions, paragraphs, sentences, clauses</w:t>
      </w:r>
      <w:r>
        <w:t>,</w:t>
      </w:r>
      <w:r w:rsidRPr="009525EE">
        <w:t xml:space="preserve"> or phrases hereof be declared invalid or unenforceable. </w:t>
      </w:r>
    </w:p>
    <w:p w14:paraId="52BC7370" w14:textId="77777777" w:rsidR="00615A6D" w:rsidRPr="009525EE" w:rsidRDefault="00615A6D" w:rsidP="00615A6D">
      <w:pPr>
        <w:pStyle w:val="NormalText"/>
        <w:widowControl/>
      </w:pPr>
    </w:p>
    <w:p w14:paraId="22A57571" w14:textId="77777777" w:rsidR="00615A6D" w:rsidRDefault="00615A6D" w:rsidP="006A5CDB">
      <w:pPr>
        <w:pStyle w:val="commentsbox"/>
      </w:pPr>
      <w:r w:rsidRPr="009525EE">
        <w:rPr>
          <w:b/>
          <w:caps/>
        </w:rPr>
        <w:t>comment</w:t>
      </w:r>
      <w:r w:rsidRPr="009525EE">
        <w:rPr>
          <w:b/>
          <w:smallCaps/>
        </w:rPr>
        <w:t xml:space="preserve">: </w:t>
      </w:r>
      <w:r w:rsidRPr="009525EE">
        <w:t>This is standard language.</w:t>
      </w:r>
    </w:p>
    <w:p w14:paraId="40973D27" w14:textId="77777777" w:rsidR="006C2E88" w:rsidRPr="001A7EB0" w:rsidRDefault="00615A6D" w:rsidP="006C2E88">
      <w:pPr>
        <w:pStyle w:val="EndnoteText"/>
        <w:rPr>
          <w:rFonts w:ascii="Arial" w:hAnsi="Arial" w:cs="Arial"/>
          <w:sz w:val="32"/>
        </w:rPr>
      </w:pPr>
      <w:r w:rsidRPr="001A7EB0">
        <w:rPr>
          <w:rFonts w:ascii="Arial" w:hAnsi="Arial" w:cs="Arial"/>
          <w:sz w:val="22"/>
        </w:rPr>
        <w:br w:type="page"/>
      </w:r>
      <w:r w:rsidR="006C2E88" w:rsidRPr="001A7EB0">
        <w:rPr>
          <w:rFonts w:ascii="Arial" w:hAnsi="Arial" w:cs="Arial"/>
          <w:sz w:val="32"/>
        </w:rPr>
        <w:lastRenderedPageBreak/>
        <w:t xml:space="preserve">Appendix A: FINDINGS. </w:t>
      </w:r>
    </w:p>
    <w:p w14:paraId="0511D77D" w14:textId="77777777" w:rsidR="006E390F" w:rsidRDefault="006E390F" w:rsidP="001A7EB0">
      <w:pPr>
        <w:pStyle w:val="BasicParagraph"/>
        <w:spacing w:after="60"/>
        <w:rPr>
          <w:rFonts w:ascii="Arial" w:hAnsi="Arial" w:cs="Arial"/>
          <w:b/>
          <w:sz w:val="20"/>
          <w:szCs w:val="20"/>
          <w:lang w:bidi="ar-SA"/>
        </w:rPr>
      </w:pPr>
    </w:p>
    <w:p w14:paraId="311A8A96" w14:textId="48EF4D13" w:rsidR="006C2E88" w:rsidRPr="00D4779F" w:rsidRDefault="006C2E88" w:rsidP="00390BB7">
      <w:pPr>
        <w:pStyle w:val="EndnoteText"/>
        <w:rPr>
          <w:sz w:val="24"/>
        </w:rPr>
      </w:pPr>
      <w:r w:rsidRPr="00D4779F">
        <w:rPr>
          <w:sz w:val="24"/>
        </w:rPr>
        <w:t xml:space="preserve">WHEREAS, tobacco use causes death and disease and continues to be an urgent public health </w:t>
      </w:r>
      <w:r w:rsidR="00707C00">
        <w:rPr>
          <w:rFonts w:cs="Times New Roman"/>
          <w:sz w:val="24"/>
        </w:rPr>
        <w:t>threat</w:t>
      </w:r>
      <w:r w:rsidRPr="004D3468">
        <w:rPr>
          <w:sz w:val="24"/>
        </w:rPr>
        <w:t>, as evidenced by the following:</w:t>
      </w:r>
    </w:p>
    <w:p w14:paraId="6243591B" w14:textId="77777777" w:rsidR="006C2E88" w:rsidRPr="004D3468" w:rsidRDefault="008C4950" w:rsidP="006C2E88">
      <w:pPr>
        <w:pStyle w:val="EndnoteText"/>
        <w:numPr>
          <w:ilvl w:val="0"/>
          <w:numId w:val="7"/>
        </w:numPr>
        <w:rPr>
          <w:sz w:val="24"/>
        </w:rPr>
      </w:pPr>
      <w:r w:rsidRPr="00CD15B3">
        <w:rPr>
          <w:rFonts w:cs="Times New Roman"/>
          <w:sz w:val="24"/>
        </w:rPr>
        <w:t>The World Health Organization (WHO) estimates that tobacco kills</w:t>
      </w:r>
      <w:r w:rsidR="00FA4C28" w:rsidRPr="00CD15B3">
        <w:rPr>
          <w:rFonts w:cs="Times New Roman"/>
          <w:sz w:val="24"/>
        </w:rPr>
        <w:t xml:space="preserve"> up to half of its users, amounting to</w:t>
      </w:r>
      <w:r w:rsidRPr="00CD15B3">
        <w:rPr>
          <w:rFonts w:cs="Times New Roman"/>
          <w:sz w:val="24"/>
        </w:rPr>
        <w:t xml:space="preserve"> </w:t>
      </w:r>
      <w:r w:rsidR="001335FC" w:rsidRPr="00CD15B3">
        <w:rPr>
          <w:rFonts w:cs="Times New Roman"/>
          <w:sz w:val="24"/>
        </w:rPr>
        <w:t xml:space="preserve">more than 7 million </w:t>
      </w:r>
      <w:r w:rsidR="00CD15B3" w:rsidRPr="00CD15B3">
        <w:rPr>
          <w:rFonts w:cs="Times New Roman"/>
          <w:sz w:val="24"/>
        </w:rPr>
        <w:t>deaths</w:t>
      </w:r>
      <w:r w:rsidR="001335FC" w:rsidRPr="00CD15B3">
        <w:rPr>
          <w:rFonts w:cs="Times New Roman"/>
          <w:sz w:val="24"/>
        </w:rPr>
        <w:t xml:space="preserve"> each year worldwide</w:t>
      </w:r>
      <w:r w:rsidR="00CD15B3" w:rsidRPr="00CD15B3">
        <w:rPr>
          <w:rFonts w:cs="Times New Roman"/>
          <w:sz w:val="24"/>
        </w:rPr>
        <w:t>,</w:t>
      </w:r>
      <w:r w:rsidR="00FD0C47">
        <w:rPr>
          <w:rStyle w:val="EndnoteReference"/>
          <w:rFonts w:cs="Times New Roman"/>
        </w:rPr>
        <w:endnoteReference w:id="2"/>
      </w:r>
      <w:r w:rsidR="00CD15B3" w:rsidRPr="00CD15B3">
        <w:rPr>
          <w:rFonts w:cs="Times New Roman"/>
          <w:sz w:val="24"/>
        </w:rPr>
        <w:t xml:space="preserve"> including</w:t>
      </w:r>
      <w:r w:rsidR="00CD15B3">
        <w:rPr>
          <w:rFonts w:cs="Times New Roman"/>
          <w:sz w:val="24"/>
        </w:rPr>
        <w:t xml:space="preserve"> nearly half a million</w:t>
      </w:r>
      <w:r w:rsidR="006C2E88" w:rsidRPr="004D3468">
        <w:rPr>
          <w:sz w:val="24"/>
        </w:rPr>
        <w:t xml:space="preserve"> people </w:t>
      </w:r>
      <w:r w:rsidR="00CD15B3">
        <w:rPr>
          <w:rFonts w:cs="Times New Roman"/>
          <w:sz w:val="24"/>
        </w:rPr>
        <w:t>who</w:t>
      </w:r>
      <w:r w:rsidR="006C2E88" w:rsidRPr="00CD15B3">
        <w:rPr>
          <w:rFonts w:cs="Times New Roman"/>
          <w:sz w:val="24"/>
        </w:rPr>
        <w:t xml:space="preserve"> </w:t>
      </w:r>
      <w:r w:rsidR="006C2E88" w:rsidRPr="004D3468">
        <w:rPr>
          <w:sz w:val="24"/>
        </w:rPr>
        <w:t xml:space="preserve">die prematurely </w:t>
      </w:r>
      <w:r w:rsidR="00CD15B3">
        <w:rPr>
          <w:rFonts w:cs="Times New Roman"/>
          <w:sz w:val="24"/>
        </w:rPr>
        <w:t>from smoking</w:t>
      </w:r>
      <w:r w:rsidR="006C2E88" w:rsidRPr="00CD15B3">
        <w:rPr>
          <w:rFonts w:cs="Times New Roman"/>
          <w:sz w:val="24"/>
        </w:rPr>
        <w:t xml:space="preserve"> </w:t>
      </w:r>
      <w:r w:rsidR="006C2E88" w:rsidRPr="004D3468">
        <w:rPr>
          <w:sz w:val="24"/>
        </w:rPr>
        <w:t xml:space="preserve">in the United States </w:t>
      </w:r>
      <w:r w:rsidR="00CD15B3">
        <w:rPr>
          <w:rFonts w:cs="Times New Roman"/>
          <w:sz w:val="24"/>
        </w:rPr>
        <w:t>alone</w:t>
      </w:r>
      <w:r w:rsidR="006C2E88" w:rsidRPr="00D4779F">
        <w:rPr>
          <w:sz w:val="24"/>
        </w:rPr>
        <w:t>;</w:t>
      </w:r>
      <w:r w:rsidR="00FD0C47">
        <w:rPr>
          <w:rStyle w:val="EndnoteReference"/>
        </w:rPr>
        <w:endnoteReference w:id="3"/>
      </w:r>
      <w:r w:rsidR="00683870" w:rsidRPr="006E390F">
        <w:rPr>
          <w:sz w:val="24"/>
        </w:rPr>
        <w:fldChar w:fldCharType="begin" w:fldLock="1"/>
      </w:r>
      <w:r w:rsidR="006C2E88" w:rsidRPr="005457D6">
        <w:rPr>
          <w:sz w:val="24"/>
        </w:rPr>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Executive Summary", "type" : "report" }, "uris" : [ "http://www.mendeley.com/documents/?uuid=c735f68b-173e-4d84-b371-b0fee318b5cb" ] } ], "mendeley" : { "formattedCitation" : "&lt;sup&gt;1&lt;/sup&gt;", "plainTextFormattedCitation" : "1", "previouslyFormattedCitation" : "&lt;sup&gt;1&lt;/sup&gt;" }, "properties" : { "noteIndex" : 0 }, "schema" : "https://github.com/citation-style-language/schema/raw/master/csl-citation.json" }</w:instrText>
      </w:r>
      <w:r w:rsidR="00683870" w:rsidRPr="006E390F">
        <w:rPr>
          <w:sz w:val="24"/>
        </w:rPr>
        <w:fldChar w:fldCharType="end"/>
      </w:r>
    </w:p>
    <w:p w14:paraId="4CBE5EFD" w14:textId="77777777" w:rsidR="006C2E88" w:rsidRPr="004D3468" w:rsidRDefault="006C2E88" w:rsidP="006C2E88">
      <w:pPr>
        <w:pStyle w:val="EndnoteText"/>
        <w:numPr>
          <w:ilvl w:val="0"/>
          <w:numId w:val="7"/>
        </w:numPr>
        <w:rPr>
          <w:i/>
          <w:sz w:val="24"/>
        </w:rPr>
      </w:pPr>
      <w:r w:rsidRPr="00D4779F">
        <w:rPr>
          <w:sz w:val="24"/>
        </w:rPr>
        <w:t xml:space="preserve">Tobacco use </w:t>
      </w:r>
      <w:r w:rsidRPr="0077469D">
        <w:rPr>
          <w:rFonts w:cs="Times New Roman"/>
          <w:sz w:val="24"/>
        </w:rPr>
        <w:t>cause</w:t>
      </w:r>
      <w:r w:rsidR="00B207EF">
        <w:rPr>
          <w:rFonts w:cs="Times New Roman"/>
          <w:sz w:val="24"/>
        </w:rPr>
        <w:t>s</w:t>
      </w:r>
      <w:r w:rsidRPr="004D3468">
        <w:rPr>
          <w:sz w:val="24"/>
        </w:rPr>
        <w:t xml:space="preserve"> disease in nearly all organ systems and is responsible for 87 percent of lung cancer deaths, </w:t>
      </w:r>
      <w:r w:rsidRPr="001C7DC2">
        <w:rPr>
          <w:sz w:val="24"/>
        </w:rPr>
        <w:t>32 percent of coronary heart disease deaths</w:t>
      </w:r>
      <w:r w:rsidR="00900CE0">
        <w:rPr>
          <w:rFonts w:cs="Times New Roman"/>
          <w:sz w:val="24"/>
        </w:rPr>
        <w:t>, and 79 percent of all chronic obstructive pulmonary disease cases in the United States</w:t>
      </w:r>
      <w:r w:rsidRPr="004D3468">
        <w:rPr>
          <w:sz w:val="24"/>
        </w:rPr>
        <w:t>;</w:t>
      </w:r>
      <w:r w:rsidR="00FD0C47">
        <w:rPr>
          <w:rStyle w:val="EndnoteReference"/>
        </w:rPr>
        <w:endnoteReference w:id="4"/>
      </w:r>
      <w:r w:rsidR="00683870" w:rsidRPr="006E390F">
        <w:rPr>
          <w:sz w:val="24"/>
        </w:rPr>
        <w:fldChar w:fldCharType="begin" w:fldLock="1"/>
      </w:r>
      <w:r w:rsidRPr="005457D6">
        <w:rPr>
          <w:sz w:val="24"/>
        </w:rPr>
        <w:instrText>ADDIN CSL_CITATION { "citationItems" : [ { "id" : "ITEM-1", "itemData" : { "URL" : "http://www.surgeongeneral.gov/library/reports/50-years-of-progress/fact-sheet.html", "accessed" : { "date-parts" : [ [ "2015", "6", "2" ] ] }, "author" : [ { "dropping-particle" : "", "family" : "U.S. Surgeon General", "given" : "", "non-dropping-particle" : "", "parse-names" : false, "suffix" : "" } ], "container-title" : "2014", "id" : "ITEM-1", "issued" : { "date-parts" : [ [ "0" ] ] }, "title" : "Factsheet: The Health Consequences of Smoking\u201450 Years of Progress: A Report of the Surgeon General", "type" : "webpage" }, "uris" : [ "http://www.mendeley.com/documents/?uuid=be58a8db-ee57-4124-b8db-e466a75d29d9" ] } ], "mendeley" : { "formattedCitation" : "&lt;sup&gt;2&lt;/sup&gt;", "plainTextFormattedCitation" : "2", "previouslyFormattedCitation" : "&lt;sup&gt;2&lt;/sup&gt;" }, "properties" : { "noteIndex" : 0 }, "schema" : "https://github.com/citation-style-language/schema/raw/master/csl-citation.json" }</w:instrText>
      </w:r>
      <w:r w:rsidR="00683870" w:rsidRPr="006E390F">
        <w:rPr>
          <w:sz w:val="24"/>
        </w:rPr>
        <w:fldChar w:fldCharType="end"/>
      </w:r>
      <w:r w:rsidRPr="006E390F">
        <w:rPr>
          <w:sz w:val="24"/>
        </w:rPr>
        <w:t xml:space="preserve"> </w:t>
      </w:r>
      <w:r w:rsidRPr="005457D6">
        <w:rPr>
          <w:rFonts w:cs="Times New Roman"/>
          <w:sz w:val="24"/>
        </w:rPr>
        <w:t>and</w:t>
      </w:r>
    </w:p>
    <w:p w14:paraId="3E4EE541" w14:textId="65E3D444" w:rsidR="001C1019" w:rsidRDefault="00B207EF" w:rsidP="00DE2DFF">
      <w:pPr>
        <w:pStyle w:val="EndnoteText"/>
        <w:numPr>
          <w:ilvl w:val="0"/>
          <w:numId w:val="7"/>
        </w:numPr>
        <w:rPr>
          <w:rFonts w:cs="Times New Roman"/>
          <w:i/>
          <w:sz w:val="24"/>
        </w:rPr>
      </w:pPr>
      <w:r>
        <w:rPr>
          <w:rFonts w:cs="Times New Roman"/>
          <w:sz w:val="24"/>
        </w:rPr>
        <w:t>The economic damage attributable to smoking and exposure to secondhand smoke in the United States has climbed to almost $300 billion annually</w:t>
      </w:r>
      <w:r w:rsidR="00114EC2">
        <w:rPr>
          <w:rFonts w:cs="Times New Roman"/>
          <w:sz w:val="24"/>
        </w:rPr>
        <w:t>,</w:t>
      </w:r>
      <w:r w:rsidR="00FD0C47">
        <w:rPr>
          <w:rStyle w:val="EndnoteReference"/>
          <w:rFonts w:cs="Times New Roman"/>
        </w:rPr>
        <w:endnoteReference w:id="5"/>
      </w:r>
      <w:r w:rsidR="00114EC2">
        <w:rPr>
          <w:rFonts w:cs="Times New Roman"/>
          <w:sz w:val="24"/>
        </w:rPr>
        <w:t xml:space="preserve"> </w:t>
      </w:r>
    </w:p>
    <w:p w14:paraId="73BDC42E" w14:textId="08EE04B7" w:rsidR="001C1019" w:rsidRPr="001C1019" w:rsidRDefault="001C1019" w:rsidP="001C1019">
      <w:pPr>
        <w:pStyle w:val="EndnoteText"/>
        <w:numPr>
          <w:ilvl w:val="0"/>
          <w:numId w:val="7"/>
        </w:numPr>
        <w:rPr>
          <w:rFonts w:cs="Times New Roman"/>
          <w:i/>
          <w:sz w:val="24"/>
        </w:rPr>
      </w:pPr>
      <w:r>
        <w:rPr>
          <w:rFonts w:cs="Times New Roman"/>
          <w:sz w:val="24"/>
        </w:rPr>
        <w:t xml:space="preserve">Despite </w:t>
      </w:r>
      <w:r w:rsidR="00DB65AF">
        <w:rPr>
          <w:rFonts w:cs="Times New Roman"/>
          <w:sz w:val="24"/>
        </w:rPr>
        <w:t xml:space="preserve">significant </w:t>
      </w:r>
      <w:r>
        <w:rPr>
          <w:rFonts w:cs="Times New Roman"/>
          <w:sz w:val="24"/>
        </w:rPr>
        <w:t>progress, tobacco use remains the leading cause of preventable death and disease in the United States,</w:t>
      </w:r>
      <w:r w:rsidR="00FD0C47">
        <w:rPr>
          <w:rStyle w:val="EndnoteReference"/>
          <w:rFonts w:cs="Times New Roman"/>
        </w:rPr>
        <w:endnoteReference w:id="6"/>
      </w:r>
      <w:r>
        <w:rPr>
          <w:rFonts w:cs="Times New Roman"/>
          <w:sz w:val="24"/>
        </w:rPr>
        <w:t xml:space="preserve"> </w:t>
      </w:r>
      <w:r w:rsidR="006C2E88" w:rsidRPr="00DE2DFF">
        <w:rPr>
          <w:rFonts w:cs="Times New Roman"/>
          <w:sz w:val="24"/>
        </w:rPr>
        <w:t>and</w:t>
      </w:r>
    </w:p>
    <w:p w14:paraId="7E46853D" w14:textId="320FFBF2" w:rsidR="00737EEF" w:rsidRDefault="001C1019" w:rsidP="00737EEF">
      <w:pPr>
        <w:pStyle w:val="EndnoteText"/>
        <w:numPr>
          <w:ilvl w:val="0"/>
          <w:numId w:val="7"/>
        </w:numPr>
        <w:rPr>
          <w:rFonts w:cs="Times New Roman"/>
          <w:i/>
          <w:sz w:val="24"/>
        </w:rPr>
      </w:pPr>
      <w:r w:rsidRPr="001C1019">
        <w:rPr>
          <w:rFonts w:cs="Times New Roman"/>
          <w:b/>
          <w:sz w:val="24"/>
        </w:rPr>
        <w:t>[ insert local tobacco toll data if available ].</w:t>
      </w:r>
    </w:p>
    <w:p w14:paraId="2A4150CD" w14:textId="77777777" w:rsidR="00737EEF" w:rsidRPr="00737EEF" w:rsidRDefault="00737EEF" w:rsidP="00737EEF">
      <w:pPr>
        <w:pStyle w:val="EndnoteText"/>
        <w:ind w:left="900" w:firstLine="0"/>
        <w:rPr>
          <w:rFonts w:cs="Times New Roman"/>
          <w:i/>
          <w:sz w:val="24"/>
        </w:rPr>
      </w:pPr>
    </w:p>
    <w:p w14:paraId="3AD391F0" w14:textId="77777777" w:rsidR="00737EEF" w:rsidRDefault="00737EEF" w:rsidP="00737EEF">
      <w:pPr>
        <w:pStyle w:val="bullets"/>
        <w:numPr>
          <w:ilvl w:val="0"/>
          <w:numId w:val="0"/>
        </w:numPr>
        <w:rPr>
          <w:sz w:val="22"/>
          <w:szCs w:val="22"/>
        </w:rPr>
      </w:pPr>
      <w:r w:rsidRPr="00943B9C">
        <w:rPr>
          <w:rFonts w:cs="Times New Roman"/>
          <w:bCs/>
        </w:rPr>
        <w:t>WHEREAS</w:t>
      </w:r>
      <w:r w:rsidRPr="00ED4374">
        <w:rPr>
          <w:rFonts w:cs="Times New Roman"/>
          <w:bCs/>
        </w:rPr>
        <w:t>,</w:t>
      </w:r>
      <w:r w:rsidRPr="008A1423">
        <w:rPr>
          <w:rFonts w:cs="Times New Roman"/>
          <w:b/>
          <w:bCs/>
        </w:rPr>
        <w:t xml:space="preserve"> </w:t>
      </w:r>
      <w:r w:rsidRPr="00BE75BC">
        <w:rPr>
          <w:rFonts w:cs="Times New Roman"/>
        </w:rPr>
        <w:t>tobacco use is the number one cause of preventable death in California</w:t>
      </w:r>
      <w:r w:rsidRPr="008A1423">
        <w:rPr>
          <w:vertAlign w:val="superscript"/>
        </w:rPr>
        <w:endnoteReference w:id="7"/>
      </w:r>
      <w:r w:rsidRPr="008A1423">
        <w:rPr>
          <w:rFonts w:cs="Times New Roman"/>
        </w:rPr>
        <w:t xml:space="preserve"> and </w:t>
      </w:r>
      <w:r w:rsidRPr="00BE75BC">
        <w:rPr>
          <w:rFonts w:cs="Times New Roman"/>
        </w:rPr>
        <w:tab/>
        <w:t>continues to be an urgent public health issue, as evidenced by the following:</w:t>
      </w:r>
    </w:p>
    <w:p w14:paraId="61927F26" w14:textId="77777777" w:rsidR="00737EEF" w:rsidRDefault="00737EEF" w:rsidP="00737EEF">
      <w:pPr>
        <w:pStyle w:val="bullets"/>
        <w:numPr>
          <w:ilvl w:val="0"/>
          <w:numId w:val="27"/>
        </w:numPr>
        <w:rPr>
          <w:sz w:val="22"/>
          <w:szCs w:val="22"/>
        </w:rPr>
      </w:pPr>
      <w:r w:rsidRPr="008A1423">
        <w:rPr>
          <w:rFonts w:cs="Times New Roman"/>
        </w:rPr>
        <w:t>40,000 California adults die from smoking annually;</w:t>
      </w:r>
      <w:bookmarkStart w:id="3" w:name="_Ref518375878"/>
      <w:r w:rsidRPr="008A1423">
        <w:rPr>
          <w:rFonts w:eastAsia="Calibri"/>
          <w:vertAlign w:val="superscript"/>
        </w:rPr>
        <w:endnoteReference w:id="8"/>
      </w:r>
      <w:bookmarkEnd w:id="3"/>
    </w:p>
    <w:p w14:paraId="4C24C246" w14:textId="7D35DF6E" w:rsidR="00737EEF" w:rsidRPr="00943B9C" w:rsidRDefault="00737EEF" w:rsidP="00737EEF">
      <w:pPr>
        <w:pStyle w:val="bullets"/>
        <w:numPr>
          <w:ilvl w:val="0"/>
          <w:numId w:val="27"/>
        </w:numPr>
        <w:rPr>
          <w:sz w:val="22"/>
          <w:szCs w:val="22"/>
        </w:rPr>
      </w:pPr>
      <w:r w:rsidRPr="008A1423">
        <w:rPr>
          <w:rFonts w:cs="Times New Roman"/>
        </w:rPr>
        <w:t xml:space="preserve">Smoking costs California </w:t>
      </w:r>
      <w:r w:rsidRPr="00BE75BC">
        <w:rPr>
          <w:rFonts w:cs="Times New Roman"/>
        </w:rPr>
        <w:t>$13.</w:t>
      </w:r>
      <w:r>
        <w:rPr>
          <w:rFonts w:cs="Times New Roman"/>
        </w:rPr>
        <w:t>3</w:t>
      </w:r>
      <w:r w:rsidRPr="00BE75BC">
        <w:rPr>
          <w:rFonts w:cs="Times New Roman"/>
        </w:rPr>
        <w:t xml:space="preserve"> billion in direct health care expenses, $3.</w:t>
      </w:r>
      <w:r>
        <w:rPr>
          <w:rFonts w:cs="Times New Roman"/>
        </w:rPr>
        <w:t>6</w:t>
      </w:r>
      <w:r w:rsidRPr="00BE75BC">
        <w:rPr>
          <w:rFonts w:cs="Times New Roman"/>
        </w:rPr>
        <w:t xml:space="preserve"> billion in Medicaid costs caused by smoking, and $10.</w:t>
      </w:r>
      <w:r>
        <w:rPr>
          <w:rFonts w:cs="Times New Roman"/>
        </w:rPr>
        <w:t>4</w:t>
      </w:r>
      <w:r w:rsidRPr="00BE75BC">
        <w:rPr>
          <w:rFonts w:cs="Times New Roman"/>
        </w:rPr>
        <w:t xml:space="preserve"> billion in smoking-caused productivity losses;</w:t>
      </w:r>
      <w:r>
        <w:rPr>
          <w:rStyle w:val="EndnoteReference"/>
          <w:rFonts w:eastAsia="Calibri"/>
        </w:rPr>
        <w:endnoteReference w:id="9"/>
      </w:r>
    </w:p>
    <w:p w14:paraId="393DDFBB" w14:textId="77777777" w:rsidR="00737EEF" w:rsidRPr="00943B9C" w:rsidRDefault="00737EEF" w:rsidP="00737EEF">
      <w:pPr>
        <w:pStyle w:val="bullets"/>
        <w:numPr>
          <w:ilvl w:val="0"/>
          <w:numId w:val="27"/>
        </w:numPr>
        <w:rPr>
          <w:sz w:val="22"/>
          <w:szCs w:val="22"/>
        </w:rPr>
      </w:pPr>
      <w:r w:rsidRPr="008A1423">
        <w:rPr>
          <w:rFonts w:cs="Times New Roman"/>
        </w:rPr>
        <w:t>More than 25% of all adult cancer deaths in California are attributable to smoking;</w:t>
      </w:r>
      <w:r w:rsidRPr="008A1423">
        <w:rPr>
          <w:rFonts w:eastAsia="Calibri"/>
          <w:vertAlign w:val="superscript"/>
        </w:rPr>
        <w:endnoteReference w:id="10"/>
      </w:r>
    </w:p>
    <w:p w14:paraId="15BCDCC8" w14:textId="77777777" w:rsidR="00737EEF" w:rsidRPr="00943B9C" w:rsidRDefault="00737EEF" w:rsidP="00737EEF">
      <w:pPr>
        <w:pStyle w:val="bullets"/>
        <w:numPr>
          <w:ilvl w:val="0"/>
          <w:numId w:val="27"/>
        </w:numPr>
        <w:rPr>
          <w:b/>
        </w:rPr>
      </w:pPr>
      <w:r w:rsidRPr="008A1423">
        <w:rPr>
          <w:rFonts w:cs="Times New Roman"/>
          <w:b/>
        </w:rPr>
        <w:t xml:space="preserve"> [ insert local tobacco toll data if available ]</w:t>
      </w:r>
    </w:p>
    <w:p w14:paraId="17B30043" w14:textId="77777777" w:rsidR="006C2E88" w:rsidRPr="00567579" w:rsidRDefault="006C2E88" w:rsidP="006C2E88">
      <w:pPr>
        <w:pStyle w:val="EndnoteText"/>
        <w:rPr>
          <w:sz w:val="24"/>
        </w:rPr>
      </w:pPr>
    </w:p>
    <w:p w14:paraId="491DCA2E" w14:textId="77777777" w:rsidR="001C1019" w:rsidRPr="00943B9C" w:rsidRDefault="001C1019" w:rsidP="001A7EB0">
      <w:pPr>
        <w:pStyle w:val="bullets"/>
        <w:numPr>
          <w:ilvl w:val="0"/>
          <w:numId w:val="0"/>
        </w:numPr>
        <w:spacing w:after="60" w:line="276" w:lineRule="auto"/>
        <w:rPr>
          <w:rFonts w:cs="Times New Roman"/>
          <w:sz w:val="22"/>
          <w:szCs w:val="22"/>
        </w:rPr>
      </w:pPr>
      <w:r w:rsidRPr="009022BC">
        <w:rPr>
          <w:rFonts w:cs="Times New Roman"/>
        </w:rPr>
        <w:t>WHEREAS</w:t>
      </w:r>
      <w:r w:rsidRPr="00ED4374">
        <w:rPr>
          <w:rFonts w:cs="Times New Roman"/>
        </w:rPr>
        <w:t>,</w:t>
      </w:r>
      <w:r w:rsidRPr="00943B9C">
        <w:rPr>
          <w:rFonts w:cs="Times New Roman"/>
          <w:b/>
        </w:rPr>
        <w:t xml:space="preserve"> </w:t>
      </w:r>
      <w:r w:rsidRPr="008A1423">
        <w:rPr>
          <w:rFonts w:cs="Times New Roman"/>
        </w:rPr>
        <w:t>significant disparities in tobacco use exist in California</w:t>
      </w:r>
      <w:r w:rsidR="001347C1">
        <w:rPr>
          <w:rFonts w:cs="Times New Roman"/>
        </w:rPr>
        <w:t>,</w:t>
      </w:r>
      <w:r w:rsidRPr="008A1423">
        <w:rPr>
          <w:rFonts w:cs="Times New Roman"/>
        </w:rPr>
        <w:t xml:space="preserve"> which create barriers to health equity</w:t>
      </w:r>
      <w:r>
        <w:rPr>
          <w:rFonts w:cs="Times New Roman"/>
        </w:rPr>
        <w:t>,</w:t>
      </w:r>
      <w:r w:rsidR="00FD0C47">
        <w:rPr>
          <w:rStyle w:val="EndnoteReference"/>
          <w:rFonts w:cs="Times New Roman"/>
        </w:rPr>
        <w:endnoteReference w:id="11"/>
      </w:r>
      <w:r w:rsidRPr="00BE75BC">
        <w:rPr>
          <w:rFonts w:cs="Times New Roman"/>
        </w:rPr>
        <w:t xml:space="preserve"> as evidenced by the following:</w:t>
      </w:r>
    </w:p>
    <w:p w14:paraId="16E21743" w14:textId="6847E344" w:rsidR="001C1019" w:rsidRPr="00C46D4E" w:rsidRDefault="001C1019" w:rsidP="001C1019">
      <w:pPr>
        <w:pStyle w:val="bullets"/>
        <w:numPr>
          <w:ilvl w:val="0"/>
          <w:numId w:val="24"/>
        </w:numPr>
        <w:textAlignment w:val="auto"/>
        <w:rPr>
          <w:rFonts w:cs="Times New Roman"/>
        </w:rPr>
      </w:pPr>
      <w:r w:rsidRPr="00C46D4E">
        <w:rPr>
          <w:rFonts w:cs="Times New Roman"/>
        </w:rPr>
        <w:t>African American (20</w:t>
      </w:r>
      <w:r w:rsidR="000409E1">
        <w:rPr>
          <w:rFonts w:cs="Times New Roman"/>
        </w:rPr>
        <w:t xml:space="preserve"> percent</w:t>
      </w:r>
      <w:r w:rsidRPr="00C46D4E">
        <w:rPr>
          <w:rFonts w:cs="Times New Roman"/>
        </w:rPr>
        <w:t>), Asian (15.6</w:t>
      </w:r>
      <w:r w:rsidR="000409E1">
        <w:rPr>
          <w:rFonts w:cs="Times New Roman"/>
        </w:rPr>
        <w:t xml:space="preserve"> percent</w:t>
      </w:r>
      <w:r w:rsidRPr="00C46D4E">
        <w:rPr>
          <w:rFonts w:cs="Times New Roman"/>
        </w:rPr>
        <w:t>), Hispanic (15</w:t>
      </w:r>
      <w:r w:rsidR="000409E1">
        <w:rPr>
          <w:rFonts w:cs="Times New Roman"/>
        </w:rPr>
        <w:t xml:space="preserve"> percent</w:t>
      </w:r>
      <w:r w:rsidRPr="00C46D4E">
        <w:rPr>
          <w:rFonts w:cs="Times New Roman"/>
        </w:rPr>
        <w:t>)</w:t>
      </w:r>
      <w:r>
        <w:rPr>
          <w:rFonts w:cs="Times New Roman"/>
        </w:rPr>
        <w:t>,</w:t>
      </w:r>
      <w:r w:rsidRPr="00C46D4E">
        <w:rPr>
          <w:rFonts w:cs="Times New Roman"/>
        </w:rPr>
        <w:t xml:space="preserve"> and American Indian/Alaska Native (36.2</w:t>
      </w:r>
      <w:r w:rsidR="000409E1">
        <w:rPr>
          <w:rFonts w:cs="Times New Roman"/>
        </w:rPr>
        <w:t xml:space="preserve"> percent</w:t>
      </w:r>
      <w:r w:rsidRPr="00C46D4E">
        <w:rPr>
          <w:rFonts w:cs="Times New Roman"/>
        </w:rPr>
        <w:t xml:space="preserve">) males all report a higher smoking prevalence than </w:t>
      </w:r>
      <w:r w:rsidR="00427231">
        <w:rPr>
          <w:rFonts w:cs="Times New Roman"/>
        </w:rPr>
        <w:t>w</w:t>
      </w:r>
      <w:r w:rsidRPr="00C46D4E">
        <w:rPr>
          <w:rFonts w:cs="Times New Roman"/>
        </w:rPr>
        <w:t xml:space="preserve">hite, </w:t>
      </w:r>
      <w:r w:rsidR="00427231">
        <w:rPr>
          <w:rFonts w:cs="Times New Roman"/>
        </w:rPr>
        <w:t>n</w:t>
      </w:r>
      <w:r w:rsidRPr="00C46D4E">
        <w:rPr>
          <w:rFonts w:cs="Times New Roman"/>
        </w:rPr>
        <w:t>on-Hispanic males (14.8</w:t>
      </w:r>
      <w:r w:rsidR="000409E1">
        <w:rPr>
          <w:rFonts w:cs="Times New Roman"/>
        </w:rPr>
        <w:t xml:space="preserve"> percent</w:t>
      </w:r>
      <w:r w:rsidRPr="00C46D4E">
        <w:rPr>
          <w:rFonts w:cs="Times New Roman"/>
        </w:rPr>
        <w:t>);</w:t>
      </w:r>
      <w:r w:rsidR="00FD0C47">
        <w:rPr>
          <w:rStyle w:val="EndnoteReference"/>
          <w:rFonts w:cs="Times New Roman"/>
        </w:rPr>
        <w:endnoteReference w:id="12"/>
      </w:r>
    </w:p>
    <w:p w14:paraId="7AA322ED" w14:textId="77777777" w:rsidR="001C1019" w:rsidRPr="00C46D4E" w:rsidRDefault="001C1019" w:rsidP="001C1019">
      <w:pPr>
        <w:pStyle w:val="bullets"/>
        <w:numPr>
          <w:ilvl w:val="0"/>
          <w:numId w:val="24"/>
        </w:numPr>
        <w:textAlignment w:val="auto"/>
        <w:rPr>
          <w:rFonts w:cs="Times New Roman"/>
        </w:rPr>
      </w:pPr>
      <w:r w:rsidRPr="001C3899">
        <w:rPr>
          <w:rFonts w:cs="Times New Roman"/>
        </w:rPr>
        <w:t>More than half of low socioeconomic status American Indian/Alaska Native Californians smoke, the highest smoking prevalence among all populations</w:t>
      </w:r>
      <w:r w:rsidRPr="00C46D4E">
        <w:rPr>
          <w:rFonts w:cs="Times New Roman"/>
        </w:rPr>
        <w:t>;</w:t>
      </w:r>
      <w:r w:rsidR="00FD0C47">
        <w:rPr>
          <w:rStyle w:val="EndnoteReference"/>
          <w:rFonts w:cs="Times New Roman"/>
        </w:rPr>
        <w:endnoteReference w:id="13"/>
      </w:r>
      <w:r w:rsidRPr="00C46D4E">
        <w:rPr>
          <w:rFonts w:cs="Times New Roman"/>
        </w:rPr>
        <w:t xml:space="preserve"> </w:t>
      </w:r>
    </w:p>
    <w:p w14:paraId="5F7FEA23" w14:textId="5B1248BF" w:rsidR="001C1019" w:rsidRPr="008A1423" w:rsidRDefault="003E141C" w:rsidP="001C1019">
      <w:pPr>
        <w:pStyle w:val="bullets"/>
        <w:numPr>
          <w:ilvl w:val="0"/>
          <w:numId w:val="24"/>
        </w:numPr>
        <w:textAlignment w:val="auto"/>
        <w:rPr>
          <w:rFonts w:cs="Times New Roman"/>
        </w:rPr>
      </w:pPr>
      <w:r>
        <w:rPr>
          <w:rFonts w:cs="Times New Roman"/>
        </w:rPr>
        <w:t>S</w:t>
      </w:r>
      <w:r w:rsidR="001C1019" w:rsidRPr="00BE75BC">
        <w:rPr>
          <w:rFonts w:cs="Times New Roman"/>
        </w:rPr>
        <w:t xml:space="preserve">moking prevalence increased among </w:t>
      </w:r>
      <w:r>
        <w:rPr>
          <w:rFonts w:cs="Times New Roman"/>
        </w:rPr>
        <w:t>high school</w:t>
      </w:r>
      <w:r w:rsidR="00427231">
        <w:rPr>
          <w:rFonts w:cs="Times New Roman"/>
        </w:rPr>
        <w:t>–</w:t>
      </w:r>
      <w:r>
        <w:rPr>
          <w:rFonts w:cs="Times New Roman"/>
        </w:rPr>
        <w:t xml:space="preserve">age </w:t>
      </w:r>
      <w:r w:rsidR="001C1019" w:rsidRPr="00BE75BC">
        <w:rPr>
          <w:rFonts w:cs="Times New Roman"/>
        </w:rPr>
        <w:t>African American youth from 2002</w:t>
      </w:r>
      <w:r w:rsidR="001C1019">
        <w:rPr>
          <w:rFonts w:cs="Times New Roman"/>
        </w:rPr>
        <w:t xml:space="preserve"> to </w:t>
      </w:r>
      <w:r w:rsidR="001C1019" w:rsidRPr="00BE75BC">
        <w:rPr>
          <w:rFonts w:cs="Times New Roman"/>
        </w:rPr>
        <w:t>2012</w:t>
      </w:r>
      <w:r>
        <w:rPr>
          <w:rFonts w:cs="Times New Roman"/>
        </w:rPr>
        <w:t xml:space="preserve"> while rates decreased for high school</w:t>
      </w:r>
      <w:r w:rsidR="00427231">
        <w:rPr>
          <w:rFonts w:cs="Times New Roman"/>
        </w:rPr>
        <w:t>–</w:t>
      </w:r>
      <w:r>
        <w:rPr>
          <w:rFonts w:cs="Times New Roman"/>
        </w:rPr>
        <w:t>age youth overall</w:t>
      </w:r>
      <w:r w:rsidR="00737EEF">
        <w:rPr>
          <w:rFonts w:cs="Times New Roman"/>
        </w:rPr>
        <w:t>,</w:t>
      </w:r>
      <w:r>
        <w:rPr>
          <w:rFonts w:cs="Times New Roman"/>
        </w:rPr>
        <w:t xml:space="preserve"> and for all other race/ethnicity group</w:t>
      </w:r>
      <w:r w:rsidR="00737EEF">
        <w:rPr>
          <w:rFonts w:cs="Times New Roman"/>
        </w:rPr>
        <w:t>s</w:t>
      </w:r>
      <w:r w:rsidR="001C1019" w:rsidRPr="00BE75BC">
        <w:rPr>
          <w:rFonts w:cs="Times New Roman"/>
        </w:rPr>
        <w:t>;</w:t>
      </w:r>
      <w:r w:rsidR="00FD0C47">
        <w:rPr>
          <w:rStyle w:val="EndnoteReference"/>
          <w:rFonts w:cs="Times New Roman"/>
        </w:rPr>
        <w:endnoteReference w:id="14"/>
      </w:r>
    </w:p>
    <w:p w14:paraId="49462D49" w14:textId="77777777" w:rsidR="001C1019" w:rsidRDefault="001C1019" w:rsidP="001C1019">
      <w:pPr>
        <w:pStyle w:val="bullets"/>
        <w:numPr>
          <w:ilvl w:val="0"/>
          <w:numId w:val="24"/>
        </w:numPr>
        <w:textAlignment w:val="auto"/>
        <w:rPr>
          <w:rFonts w:cs="Times New Roman"/>
        </w:rPr>
      </w:pPr>
      <w:r w:rsidRPr="00C46D4E">
        <w:rPr>
          <w:rFonts w:cs="Times New Roman"/>
        </w:rPr>
        <w:lastRenderedPageBreak/>
        <w:t xml:space="preserve">Californians with </w:t>
      </w:r>
      <w:r>
        <w:rPr>
          <w:rFonts w:cs="Times New Roman"/>
        </w:rPr>
        <w:t xml:space="preserve">the highest levels of educational attainment and annual household income have the lowest smoking </w:t>
      </w:r>
      <w:r w:rsidR="00AB6D50">
        <w:rPr>
          <w:rFonts w:cs="Times New Roman"/>
        </w:rPr>
        <w:t>rates</w:t>
      </w:r>
      <w:r w:rsidRPr="00C46D4E">
        <w:rPr>
          <w:rFonts w:cs="Times New Roman"/>
        </w:rPr>
        <w:t>;</w:t>
      </w:r>
      <w:r w:rsidR="00FD0C47">
        <w:rPr>
          <w:rStyle w:val="EndnoteReference"/>
          <w:rFonts w:cs="Times New Roman"/>
        </w:rPr>
        <w:endnoteReference w:id="15"/>
      </w:r>
    </w:p>
    <w:p w14:paraId="3296B441" w14:textId="6B857C0F" w:rsidR="00737EEF" w:rsidRPr="008A1423" w:rsidRDefault="00737EEF" w:rsidP="00737EEF">
      <w:pPr>
        <w:pStyle w:val="bullets"/>
        <w:numPr>
          <w:ilvl w:val="0"/>
          <w:numId w:val="24"/>
        </w:numPr>
        <w:textAlignment w:val="auto"/>
        <w:rPr>
          <w:rFonts w:cs="Times New Roman"/>
        </w:rPr>
      </w:pPr>
      <w:r w:rsidRPr="00BE75BC">
        <w:rPr>
          <w:rFonts w:cs="Times New Roman"/>
        </w:rPr>
        <w:t xml:space="preserve">Those who identify as bisexual, compared </w:t>
      </w:r>
      <w:r>
        <w:rPr>
          <w:rFonts w:cs="Times New Roman"/>
        </w:rPr>
        <w:t>with</w:t>
      </w:r>
      <w:r w:rsidRPr="00BE75BC">
        <w:rPr>
          <w:rFonts w:cs="Times New Roman"/>
        </w:rPr>
        <w:t xml:space="preserve"> heterosexual, gay/lesbian/homosexual, not sexual, celibate, or other, smoke at rates disproportional to their </w:t>
      </w:r>
      <w:r w:rsidR="00154C56">
        <w:rPr>
          <w:rFonts w:cs="Times New Roman"/>
        </w:rPr>
        <w:t>representation</w:t>
      </w:r>
      <w:r>
        <w:rPr>
          <w:rFonts w:cs="Times New Roman"/>
        </w:rPr>
        <w:t xml:space="preserve"> </w:t>
      </w:r>
      <w:r w:rsidRPr="00BE75BC">
        <w:rPr>
          <w:rFonts w:cs="Times New Roman"/>
        </w:rPr>
        <w:t>in California;</w:t>
      </w:r>
      <w:r w:rsidRPr="008A1423">
        <w:rPr>
          <w:rStyle w:val="EndnoteReference"/>
          <w:rFonts w:cs="Times New Roman"/>
        </w:rPr>
        <w:endnoteReference w:id="16"/>
      </w:r>
    </w:p>
    <w:p w14:paraId="6959B437" w14:textId="2FCB92C3" w:rsidR="00737EEF" w:rsidRPr="00BE75BC" w:rsidRDefault="00737EEF" w:rsidP="00737EEF">
      <w:pPr>
        <w:pStyle w:val="bullets"/>
        <w:numPr>
          <w:ilvl w:val="0"/>
          <w:numId w:val="24"/>
        </w:numPr>
        <w:textAlignment w:val="auto"/>
        <w:rPr>
          <w:rFonts w:cs="Times New Roman"/>
        </w:rPr>
      </w:pPr>
      <w:r w:rsidRPr="00BE75BC">
        <w:rPr>
          <w:rFonts w:cs="Times New Roman"/>
        </w:rPr>
        <w:t xml:space="preserve">Those who rent their homes, compared </w:t>
      </w:r>
      <w:r>
        <w:rPr>
          <w:rFonts w:cs="Times New Roman"/>
        </w:rPr>
        <w:t>with</w:t>
      </w:r>
      <w:r w:rsidRPr="00BE75BC">
        <w:rPr>
          <w:rFonts w:cs="Times New Roman"/>
        </w:rPr>
        <w:t xml:space="preserve"> those who own their homes or have other arrangements, smoke at rates disproportional to their </w:t>
      </w:r>
      <w:r w:rsidR="00154C56">
        <w:rPr>
          <w:rFonts w:cs="Times New Roman"/>
        </w:rPr>
        <w:t>representation</w:t>
      </w:r>
      <w:r w:rsidRPr="00BE75BC">
        <w:rPr>
          <w:rFonts w:cs="Times New Roman"/>
        </w:rPr>
        <w:t xml:space="preserve"> in California;</w:t>
      </w:r>
      <w:r>
        <w:rPr>
          <w:rStyle w:val="EndnoteReference"/>
          <w:rFonts w:cs="Times New Roman"/>
        </w:rPr>
        <w:endnoteReference w:id="17"/>
      </w:r>
    </w:p>
    <w:p w14:paraId="4CDB0311" w14:textId="338367F7" w:rsidR="001C1019" w:rsidRPr="00154C56" w:rsidRDefault="00154C56" w:rsidP="001C1019">
      <w:pPr>
        <w:pStyle w:val="bullets"/>
        <w:numPr>
          <w:ilvl w:val="0"/>
          <w:numId w:val="24"/>
        </w:numPr>
        <w:textAlignment w:val="auto"/>
        <w:rPr>
          <w:rFonts w:cs="Times New Roman"/>
        </w:rPr>
      </w:pPr>
      <w:r>
        <w:rPr>
          <w:rFonts w:cs="Times New Roman"/>
        </w:rPr>
        <w:t>A 2014 report noted that those</w:t>
      </w:r>
      <w:r w:rsidRPr="00154C56">
        <w:rPr>
          <w:rFonts w:cs="Times New Roman"/>
        </w:rPr>
        <w:t xml:space="preserve"> </w:t>
      </w:r>
      <w:r w:rsidR="001C1019" w:rsidRPr="00154C56">
        <w:rPr>
          <w:rFonts w:cs="Times New Roman"/>
        </w:rPr>
        <w:t xml:space="preserve">who </w:t>
      </w:r>
      <w:r>
        <w:rPr>
          <w:rFonts w:cs="Times New Roman"/>
        </w:rPr>
        <w:t xml:space="preserve">reported they likely </w:t>
      </w:r>
      <w:r w:rsidR="001C1019" w:rsidRPr="00154C56">
        <w:rPr>
          <w:rFonts w:cs="Times New Roman"/>
        </w:rPr>
        <w:t xml:space="preserve">experienced psychological distress in the </w:t>
      </w:r>
      <w:r>
        <w:rPr>
          <w:rFonts w:cs="Times New Roman"/>
        </w:rPr>
        <w:t>preceding</w:t>
      </w:r>
      <w:r w:rsidRPr="00154C56">
        <w:rPr>
          <w:rFonts w:cs="Times New Roman"/>
        </w:rPr>
        <w:t xml:space="preserve"> </w:t>
      </w:r>
      <w:r w:rsidR="001C1019" w:rsidRPr="00154C56">
        <w:rPr>
          <w:rFonts w:cs="Times New Roman"/>
        </w:rPr>
        <w:t>year smoke</w:t>
      </w:r>
      <w:r w:rsidR="004E68E5">
        <w:rPr>
          <w:rFonts w:cs="Times New Roman"/>
        </w:rPr>
        <w:t>d</w:t>
      </w:r>
      <w:r w:rsidR="001C1019" w:rsidRPr="00154C56">
        <w:rPr>
          <w:rFonts w:cs="Times New Roman"/>
        </w:rPr>
        <w:t xml:space="preserve"> at</w:t>
      </w:r>
      <w:r w:rsidR="006D1F00" w:rsidRPr="00154C56">
        <w:rPr>
          <w:rFonts w:cs="Times New Roman"/>
        </w:rPr>
        <w:t xml:space="preserve"> </w:t>
      </w:r>
      <w:r w:rsidR="001C1019" w:rsidRPr="00154C56">
        <w:rPr>
          <w:rFonts w:cs="Times New Roman"/>
        </w:rPr>
        <w:t xml:space="preserve">rates </w:t>
      </w:r>
      <w:r w:rsidR="00F24C4F" w:rsidRPr="00154C56">
        <w:rPr>
          <w:rFonts w:cs="Times New Roman"/>
        </w:rPr>
        <w:t xml:space="preserve">disproportional </w:t>
      </w:r>
      <w:r w:rsidR="001C1019" w:rsidRPr="00154C56">
        <w:rPr>
          <w:rFonts w:cs="Times New Roman"/>
        </w:rPr>
        <w:t xml:space="preserve">to their </w:t>
      </w:r>
      <w:r w:rsidR="004E68E5">
        <w:rPr>
          <w:rFonts w:cs="Times New Roman"/>
        </w:rPr>
        <w:t>representation</w:t>
      </w:r>
      <w:r w:rsidR="004E68E5" w:rsidRPr="00154C56">
        <w:rPr>
          <w:rFonts w:cs="Times New Roman"/>
        </w:rPr>
        <w:t xml:space="preserve"> </w:t>
      </w:r>
      <w:r w:rsidR="001C1019" w:rsidRPr="00154C56">
        <w:rPr>
          <w:rFonts w:cs="Times New Roman"/>
        </w:rPr>
        <w:t>in California;</w:t>
      </w:r>
      <w:r w:rsidR="00FD0C47" w:rsidRPr="00154C56">
        <w:rPr>
          <w:rStyle w:val="EndnoteReference"/>
          <w:rFonts w:cs="Times New Roman"/>
        </w:rPr>
        <w:endnoteReference w:id="18"/>
      </w:r>
      <w:r w:rsidR="006D1F00" w:rsidRPr="00154C56">
        <w:rPr>
          <w:rFonts w:cs="Times New Roman"/>
        </w:rPr>
        <w:t xml:space="preserve"> and</w:t>
      </w:r>
    </w:p>
    <w:p w14:paraId="091170E1" w14:textId="77777777" w:rsidR="001C1019" w:rsidRPr="006D1F00" w:rsidRDefault="001C1019" w:rsidP="006D1F00">
      <w:pPr>
        <w:pStyle w:val="bullets"/>
        <w:numPr>
          <w:ilvl w:val="0"/>
          <w:numId w:val="24"/>
        </w:numPr>
        <w:textAlignment w:val="auto"/>
        <w:rPr>
          <w:rFonts w:cs="Times New Roman"/>
        </w:rPr>
      </w:pPr>
      <w:r w:rsidRPr="006D1F00">
        <w:rPr>
          <w:rFonts w:cs="Times New Roman"/>
          <w:b/>
        </w:rPr>
        <w:t xml:space="preserve">[ insert local </w:t>
      </w:r>
      <w:r w:rsidR="006D1F00">
        <w:rPr>
          <w:rFonts w:cs="Times New Roman"/>
          <w:b/>
        </w:rPr>
        <w:t xml:space="preserve">disparities </w:t>
      </w:r>
      <w:r w:rsidRPr="006D1F00">
        <w:rPr>
          <w:rFonts w:cs="Times New Roman"/>
          <w:b/>
        </w:rPr>
        <w:t>data if available ]</w:t>
      </w:r>
      <w:r w:rsidR="006D1F00" w:rsidRPr="001A7EB0">
        <w:rPr>
          <w:rFonts w:cs="Times New Roman"/>
          <w:b/>
        </w:rPr>
        <w:t>.</w:t>
      </w:r>
    </w:p>
    <w:p w14:paraId="7D242913" w14:textId="77777777" w:rsidR="001C1019" w:rsidRPr="0077469D" w:rsidRDefault="001C1019" w:rsidP="006C2E88">
      <w:pPr>
        <w:pStyle w:val="EndnoteText"/>
        <w:rPr>
          <w:rFonts w:cs="Times New Roman"/>
          <w:i/>
          <w:sz w:val="24"/>
        </w:rPr>
      </w:pPr>
    </w:p>
    <w:p w14:paraId="51310BE8" w14:textId="552D6FF1" w:rsidR="006C2E88" w:rsidRPr="00D4779F" w:rsidRDefault="006C2E88" w:rsidP="00E57BED">
      <w:pPr>
        <w:pStyle w:val="EndnoteText"/>
        <w:rPr>
          <w:sz w:val="24"/>
        </w:rPr>
      </w:pPr>
      <w:r w:rsidRPr="004D3468">
        <w:rPr>
          <w:sz w:val="24"/>
        </w:rPr>
        <w:t>WHEREAS, secondhand smoke has been repeatedly identified as a health hazard, as evidenced by the following:</w:t>
      </w:r>
    </w:p>
    <w:p w14:paraId="61A29121" w14:textId="7EC11DE4" w:rsidR="006C2E88" w:rsidRPr="006E390F" w:rsidRDefault="006C2E88" w:rsidP="006C2E88">
      <w:pPr>
        <w:pStyle w:val="EndnoteText"/>
        <w:numPr>
          <w:ilvl w:val="0"/>
          <w:numId w:val="7"/>
        </w:numPr>
        <w:rPr>
          <w:sz w:val="24"/>
        </w:rPr>
      </w:pPr>
      <w:r w:rsidRPr="001C7DC2">
        <w:rPr>
          <w:sz w:val="24"/>
        </w:rPr>
        <w:t xml:space="preserve">The U.S. </w:t>
      </w:r>
      <w:r w:rsidR="00427231">
        <w:rPr>
          <w:sz w:val="24"/>
        </w:rPr>
        <w:t>s</w:t>
      </w:r>
      <w:r w:rsidRPr="001C7DC2">
        <w:rPr>
          <w:sz w:val="24"/>
        </w:rPr>
        <w:t xml:space="preserve">urgeon </w:t>
      </w:r>
      <w:r w:rsidR="00427231">
        <w:rPr>
          <w:sz w:val="24"/>
        </w:rPr>
        <w:t>g</w:t>
      </w:r>
      <w:r w:rsidRPr="001C7DC2">
        <w:rPr>
          <w:sz w:val="24"/>
        </w:rPr>
        <w:t>eneral concluded that there is no risk-free level of exposure to secondhand smoke;</w:t>
      </w:r>
      <w:r w:rsidR="00FD0C47">
        <w:rPr>
          <w:rStyle w:val="EndnoteReference"/>
        </w:rPr>
        <w:endnoteReference w:id="19"/>
      </w:r>
      <w:r w:rsidR="00683870" w:rsidRPr="006E390F">
        <w:rPr>
          <w:sz w:val="24"/>
        </w:rPr>
        <w:fldChar w:fldCharType="begin" w:fldLock="1"/>
      </w:r>
      <w:r w:rsidRPr="005457D6">
        <w:rPr>
          <w:sz w:val="24"/>
        </w:rPr>
        <w:instrText>ADDIN CSL_CITATION { "citationItems" : [ { "id" : "ITEM-1", "itemData" : { "URL" : "http://www.cdc.gov/tobacco/data_statistics/sgr/2006/index.htm", "abstract" : "2006 Surgeon General's Report on the health consequences of involuntary exposure to tobacco smoke.", "accessed" : { "date-parts" : [ [ "2014", "6", "14" ] ] }, "author" : [ { "dropping-particle" : "", "family" : "U.S. Department of Health and Human Services", "given" : "", "non-dropping-particle" : "", "parse-names" : false, "suffix" : "" } ], "id" : "ITEM-1", "issued" : { "date-parts" : [ [ "2006" ] ] }, "language" : "en-us", "title" : "2006 Surgeon General's Report\u2014The Health Consequences of Involuntary Exposure to Tobacco Smoke", "type" : "webpage" }, "uris" : [ "http://www.mendeley.com/documents/?uuid=66893b49-e109-46bc-8398-59822c94acac" ] } ], "mendeley" : { "formattedCitation" : "&lt;sup&gt;3&lt;/sup&gt;", "plainTextFormattedCitation" : "3", "previouslyFormattedCitation" : "&lt;sup&gt;3&lt;/sup&gt;" }, "properties" : { "noteIndex" : 0 }, "schema" : "https://github.com/citation-style-language/schema/raw/master/csl-citation.json" }</w:instrText>
      </w:r>
      <w:r w:rsidR="00683870" w:rsidRPr="006E390F">
        <w:rPr>
          <w:sz w:val="24"/>
        </w:rPr>
        <w:fldChar w:fldCharType="end"/>
      </w:r>
    </w:p>
    <w:p w14:paraId="34A694A0" w14:textId="2FB26CD1" w:rsidR="006C2E88" w:rsidRPr="006E390F" w:rsidRDefault="00737EEF" w:rsidP="00DC3C78">
      <w:pPr>
        <w:pStyle w:val="EndnoteText"/>
        <w:numPr>
          <w:ilvl w:val="0"/>
          <w:numId w:val="7"/>
        </w:numPr>
        <w:spacing w:after="0"/>
        <w:rPr>
          <w:sz w:val="24"/>
        </w:rPr>
      </w:pPr>
      <w:r w:rsidRPr="00737EEF">
        <w:rPr>
          <w:sz w:val="24"/>
        </w:rPr>
        <w:t>The California Air Resources Board categorized secondhand smoke as a toxic air contaminant, along with most toxic automotive and industrial air pollutants, for which there is no safe level of exposure</w:t>
      </w:r>
      <w:r w:rsidR="006C2E88" w:rsidRPr="004D3468">
        <w:rPr>
          <w:sz w:val="24"/>
        </w:rPr>
        <w:t>;</w:t>
      </w:r>
      <w:r w:rsidR="00FD0C47" w:rsidRPr="00DD775C">
        <w:rPr>
          <w:rStyle w:val="EndnoteReference"/>
          <w:szCs w:val="22"/>
        </w:rPr>
        <w:endnoteReference w:id="20"/>
      </w:r>
      <w:r w:rsidR="00683870" w:rsidRPr="00DD67FD">
        <w:rPr>
          <w:sz w:val="22"/>
          <w:szCs w:val="22"/>
          <w:vertAlign w:val="superscript"/>
        </w:rPr>
        <w:t>,</w:t>
      </w:r>
      <w:r w:rsidR="00FD0C47" w:rsidRPr="00DD775C">
        <w:rPr>
          <w:rStyle w:val="EndnoteReference"/>
          <w:szCs w:val="22"/>
        </w:rPr>
        <w:endnoteReference w:id="21"/>
      </w:r>
      <w:r w:rsidR="00683870" w:rsidRPr="006E390F">
        <w:rPr>
          <w:sz w:val="24"/>
        </w:rPr>
        <w:fldChar w:fldCharType="begin" w:fldLock="1"/>
      </w:r>
      <w:r w:rsidR="006C2E88" w:rsidRPr="005457D6">
        <w:rPr>
          <w:sz w:val="24"/>
        </w:rPr>
        <w:instrText>ADDIN CSL_CITATION { "citationItems" : [ { "id" : "ITEM-1", "itemData" : { "author" : [ { "dropping-particle" : "", "family" : "California Environmental Protection Agency Air Resources Board", "given" : "", "non-dropping-particle" : "", "parse-names" : false, "suffix" : "" } ], "id" : "ITEM-1", "issued" : { "date-parts" : [ [ "2006" ] ] }, "title" : "Envrionmental Tobacco Smoke: A Toxic Air Contaminant. California Environmental Protection Agency Air Resources Fact Sheet.", "type" : "report" }, "uris" : [ "http://www.mendeley.com/documents/?uuid=b1a4b7fc-a7c2-45cf-99d9-c207c8a8349c" ] }, { "id" : "ITEM-2", "itemData" : { "URL" : "http://www.arb.ca.gov/newsrel/nr012606.htm", "author" : [ { "dropping-particle" : "", "family" : "California Environmental Protection Agency Air Resource Board", "given" : "", "non-dropping-particle" : "", "parse-names" : false, "suffix" : "" } ], "container-title" : "News Release", "id" : "ITEM-2", "issued" : { "date-parts" : [ [ "2006" ] ] }, "title" : "California Identifies Secondhand Smoke as a \"Toxic Air Contaminant\"", "type" : "webpage" }, "uris" : [ "http://www.mendeley.com/documents/?uuid=7d27747c-e9c3-4385-aa6f-5c768eaac5e6" ] } ], "mendeley" : { "formattedCitation" : "&lt;sup&gt;4,5&lt;/sup&gt;", "plainTextFormattedCitation" : "4,5", "previouslyFormattedCitation" : "&lt;sup&gt;4,5&lt;/sup&gt;" }, "properties" : { "noteIndex" : 0 }, "schema" : "https://github.com/citation-style-language/schema/raw/master/csl-citation.json" }</w:instrText>
      </w:r>
      <w:r w:rsidR="00683870" w:rsidRPr="006E390F">
        <w:rPr>
          <w:sz w:val="24"/>
        </w:rPr>
        <w:fldChar w:fldCharType="end"/>
      </w:r>
    </w:p>
    <w:p w14:paraId="75A09EB4" w14:textId="77777777" w:rsidR="006C2E88" w:rsidRPr="004D3468" w:rsidRDefault="006C2E88" w:rsidP="006C2E88">
      <w:pPr>
        <w:pStyle w:val="EndnoteText"/>
        <w:numPr>
          <w:ilvl w:val="0"/>
          <w:numId w:val="7"/>
        </w:numPr>
        <w:rPr>
          <w:sz w:val="24"/>
        </w:rPr>
      </w:pPr>
      <w:r w:rsidRPr="006E390F">
        <w:rPr>
          <w:sz w:val="24"/>
        </w:rPr>
        <w:t>The California Environmental Protection Agency (EPA) included secondhand smoke on the Proposition 65 list of chemicals known to the state of California to cause cancer, birth defects, and other reproductive harm;</w:t>
      </w:r>
      <w:r w:rsidR="00FD0C47">
        <w:rPr>
          <w:rStyle w:val="EndnoteReference"/>
        </w:rPr>
        <w:endnoteReference w:id="22"/>
      </w:r>
      <w:r w:rsidR="00683870" w:rsidRPr="006E390F">
        <w:rPr>
          <w:sz w:val="24"/>
        </w:rPr>
        <w:fldChar w:fldCharType="begin" w:fldLock="1"/>
      </w:r>
      <w:r w:rsidRPr="005457D6">
        <w:rPr>
          <w:sz w:val="24"/>
        </w:rPr>
        <w:instrText>ADDIN CSL_CITATION { "citationItems" : [ { "id" : "ITEM-1", "itemData" : { "URL" : "http://www.oehha.ca.gov/prop65/prop65_list/files/P65single012315.pdf", "id" : "ITEM-1", "issued" : { "date-parts" : [ [ "2015" ] ] }, "title" : "Chemicals known to the state to cause cancer or reproductive toxicity. State of California Environmental Agency Office of Health Hazard Assessment Safe Drinking Water and Toxic Enforcement Act of 1986.", "type" : "webpage" }, "uris" : [ "http://www.mendeley.com/documents/?uuid=9b75d14b-28ae-4d03-9b5d-111647d28378" ] } ], "mendeley" : { "formattedCitation" : "&lt;sup&gt;6&lt;/sup&gt;", "plainTextFormattedCitation" : "6", "previouslyFormattedCitation" : "&lt;sup&gt;6&lt;/sup&gt;" }, "properties" : { "noteIndex" : 0 }, "schema" : "https://github.com/citation-style-language/schema/raw/master/csl-citation.json" }</w:instrText>
      </w:r>
      <w:r w:rsidR="00683870" w:rsidRPr="006E390F">
        <w:rPr>
          <w:sz w:val="24"/>
        </w:rPr>
        <w:fldChar w:fldCharType="end"/>
      </w:r>
      <w:r w:rsidRPr="004D3468">
        <w:rPr>
          <w:sz w:val="24"/>
        </w:rPr>
        <w:t xml:space="preserve"> and</w:t>
      </w:r>
    </w:p>
    <w:p w14:paraId="2DF564C4" w14:textId="77777777" w:rsidR="00612694" w:rsidRPr="00612694" w:rsidRDefault="00612694" w:rsidP="00612694">
      <w:pPr>
        <w:pStyle w:val="EndnoteText"/>
        <w:numPr>
          <w:ilvl w:val="0"/>
          <w:numId w:val="7"/>
        </w:numPr>
        <w:rPr>
          <w:rFonts w:cs="Times New Roman"/>
          <w:sz w:val="24"/>
        </w:rPr>
      </w:pPr>
      <w:r w:rsidRPr="00AA25FE">
        <w:rPr>
          <w:sz w:val="24"/>
        </w:rPr>
        <w:t xml:space="preserve">The American Society of Heating, Refrigerating, and Air Conditioning Engineers (ASHRAE) </w:t>
      </w:r>
      <w:r>
        <w:rPr>
          <w:sz w:val="24"/>
        </w:rPr>
        <w:t>has concluded that “the only means of effectively eliminating health risk associated with indoor exposure [to secondhand smoke, cannabis smoke, and aerosol from electronic smoking devices] is to ban smoking activity.”</w:t>
      </w:r>
      <w:r w:rsidR="00FD0C47">
        <w:rPr>
          <w:rStyle w:val="EndnoteReference"/>
        </w:rPr>
        <w:endnoteReference w:id="23"/>
      </w:r>
      <w:r w:rsidR="00683870" w:rsidRPr="00DD67FD">
        <w:rPr>
          <w:sz w:val="24"/>
          <w:vertAlign w:val="superscript"/>
        </w:rPr>
        <w:t>,</w:t>
      </w:r>
      <w:r w:rsidR="00FD0C47">
        <w:rPr>
          <w:rStyle w:val="EndnoteReference"/>
        </w:rPr>
        <w:endnoteReference w:id="24"/>
      </w:r>
    </w:p>
    <w:p w14:paraId="3A2772F8" w14:textId="77777777" w:rsidR="008C1BAF" w:rsidRDefault="008C1BAF" w:rsidP="00373060">
      <w:pPr>
        <w:pStyle w:val="EndnoteText"/>
        <w:ind w:left="0" w:firstLine="0"/>
        <w:rPr>
          <w:rFonts w:cs="Times New Roman"/>
          <w:sz w:val="24"/>
        </w:rPr>
      </w:pPr>
    </w:p>
    <w:p w14:paraId="3C80778F" w14:textId="51A4B215" w:rsidR="006C2E88" w:rsidRPr="00D4779F" w:rsidRDefault="006C2E88" w:rsidP="00390BB7">
      <w:pPr>
        <w:pStyle w:val="EndnoteText"/>
        <w:rPr>
          <w:sz w:val="24"/>
        </w:rPr>
      </w:pPr>
      <w:r w:rsidRPr="004D3468">
        <w:rPr>
          <w:sz w:val="24"/>
        </w:rPr>
        <w:t xml:space="preserve">WHEREAS, exposure to secondhand smoke anywhere has negative health impacts, and exposure to secondhand smoke </w:t>
      </w:r>
      <w:r w:rsidR="001E726E">
        <w:rPr>
          <w:rFonts w:cs="Times New Roman"/>
          <w:sz w:val="24"/>
        </w:rPr>
        <w:t xml:space="preserve">can </w:t>
      </w:r>
      <w:r w:rsidRPr="004D3468">
        <w:rPr>
          <w:sz w:val="24"/>
        </w:rPr>
        <w:t>occur</w:t>
      </w:r>
      <w:r w:rsidRPr="00D4779F">
        <w:rPr>
          <w:sz w:val="24"/>
        </w:rPr>
        <w:t xml:space="preserve"> at significant levels outdoors</w:t>
      </w:r>
      <w:r w:rsidRPr="004D3468">
        <w:rPr>
          <w:sz w:val="24"/>
        </w:rPr>
        <w:t>, as evidenced by the following:</w:t>
      </w:r>
    </w:p>
    <w:p w14:paraId="27778E41" w14:textId="77777777" w:rsidR="006C2E88" w:rsidRPr="00D4779F" w:rsidRDefault="006C2E88" w:rsidP="006C2E88">
      <w:pPr>
        <w:pStyle w:val="EndnoteText"/>
        <w:numPr>
          <w:ilvl w:val="0"/>
          <w:numId w:val="7"/>
        </w:numPr>
        <w:rPr>
          <w:sz w:val="24"/>
        </w:rPr>
      </w:pPr>
      <w:r w:rsidRPr="001C7DC2">
        <w:rPr>
          <w:sz w:val="24"/>
        </w:rPr>
        <w:t>Levels of secondhand smoke exposure outdoors can reach levels attained indoors depending on direction and amount of wind</w:t>
      </w:r>
      <w:r w:rsidR="001E726E">
        <w:rPr>
          <w:rFonts w:cs="Times New Roman"/>
          <w:sz w:val="24"/>
        </w:rPr>
        <w:t>,</w:t>
      </w:r>
      <w:r w:rsidRPr="004D3468">
        <w:rPr>
          <w:sz w:val="24"/>
        </w:rPr>
        <w:t xml:space="preserve"> </w:t>
      </w:r>
      <w:r w:rsidRPr="00D4779F">
        <w:rPr>
          <w:sz w:val="24"/>
        </w:rPr>
        <w:t>number and proximity of smokers</w:t>
      </w:r>
      <w:r w:rsidR="001E726E">
        <w:rPr>
          <w:rFonts w:cs="Times New Roman"/>
          <w:sz w:val="24"/>
        </w:rPr>
        <w:t>, and enclsoures like walls or roofs</w:t>
      </w:r>
      <w:r w:rsidRPr="004D3468">
        <w:rPr>
          <w:sz w:val="24"/>
        </w:rPr>
        <w:t>;</w:t>
      </w:r>
      <w:r w:rsidR="00683870" w:rsidRPr="00DD67FD">
        <w:rPr>
          <w:sz w:val="24"/>
        </w:rPr>
        <w:fldChar w:fldCharType="begin" w:fldLock="1"/>
      </w:r>
      <w:r w:rsidRPr="00DD67FD">
        <w:rPr>
          <w:sz w:val="24"/>
        </w:rPr>
        <w:instrText>ADDIN CSL_CITATION { "citationItems" : [ { "id" : "ITEM-1", "itemData" : { "author" : [ { "dropping-particle" : "", "family" : "Klepeis", "given" : "N", "non-dropping-particle" : "", "parse-names" : false, "suffix" : "" }, { "dropping-particle" : "", "family" : "Ott", "given" : "W", "non-dropping-particle" : "", "parse-names" : false, "suffix" : "" }, { "dropping-particle" : "", "family" : "Switzer P", "given" : "", "non-dropping-particle" : "", "parse-names" : false, "suffix" : "" } ], "id" : "ITEM-1", "issued" : { "date-parts" : [ [ "2004" ] ] }, "title" : "Real-Time Monitoring of Outdoor Environmental Tobacco Smoke Concentrations: A Pilot Study", "type" : "report" }, "uris" : [ "http://www.mendeley.com/documents/?uuid=682dc286-9396-4959-af53-88bdaa9c206b" ] }, { "id" : "ITEM-2", "itemData" : { "DOI" : "10.3155/1047-3289.57.5.522", "ISBN" : "1096-2247 (Print)\\r1096-2247 (Linking)", "ISSN" : "1096-2247", "PMID" : "17518219", "abstract" : "The current lack of empirical data on outdoor tobacco smoke (OTS) levels impedes OTS exposure and risk assessments. We sought to measure peak and time-averaged OTS concentrations in common outdoor settings near smokers and to explore the determinants of time-varying OTS levels, including the effects of source proximity and wind. Using five types of real-time airborne particle monitoring devices, we obtained more than 8000 min worth of continuous monitoring data, during which there were measurable OTS levels. Measurement intervals ranged from 2 sec to 1 min for the different instruments. We monitored OTS levels during 15 on-site visits to 10 outdoor public places where active cigar and cigarette smokers were present, including parks, sidewalk caf\u00e9s, and restaurant and pub patios. For three of the visits and during 4 additional days of monitoring outdoors and indoors at a private residence, we controlled smoking activity at precise distances from monitored positions. The overall average OTS respirable particle concentration for the surveys of public places during smoking was approximately 30 microg m(-3). OTS exhibited sharp spikes in particle mass concentration during smoking that sometimes exceeded 1000 microg m(-3) at distances within 0.5 m of the source. Some average concentrations over the duration of a cigarette and within 0.5 m exceeded 200 microg m(-3), with some average downwind levels exceeding 500 microg m(-3). OTS levels in a constant upwind direction from an active cigarette source were nearly zero. OTS levels also approached zero at distances greater than approximately 2 m from a single cigarette. During periods of active smoking, peak and average OTS levels near smokers rivaled indoor tobacco smoke concentrations. However, OTS levels dropped almost instantly after smoking activity ceased. Based on our results, it is possible for OTS to present a nuisance or hazard under certain conditions of wind and smoker proximity.", "author" : [ { "dropping-particle" : "", "family" : "Klepeis", "given" : "Neil E", "non-dropping-particle" : "", "parse-names" : false, "suffix" : "" }, { "dropping-particle" : "", "family" : "Ott", "given" : "Wayne R", "non-dropping-particle" : "", "parse-names" : false, "suffix" : "" }, { "dropping-particle" : "", "family" : "Switzer", "given" : "Paul", "non-dropping-particle" : "", "parse-names" : false, "suffix" : "" } ], "container-title" : "Journal of the Air &amp; Waste Management Association (1995)", "id" : "ITEM-2", "issue" : "August 2013", "issued" : { "date-parts" : [ [ "2007" ] ] }, "page" : "522-534", "title" : "Real-time measurement of outdoor tobacco smoke particles.", "type" : "article-journal", "volume" : "57" }, "uris" : [ "http://www.mendeley.com/documents/?uuid=2dc49f13-de37-4351-b10e-7461bcee766b" ] } ], "mendeley" : { "formattedCitation" : "&lt;sup&gt;7,8&lt;/sup&gt;", "plainTextFormattedCitation" : "7,8", "previouslyFormattedCitation" : "&lt;sup&gt;7,8&lt;/sup&gt;" }, "properties" : { "noteIndex" : 0 }, "schema" : "https://github.com/citation-style-language/schema/raw/master/csl-citation.json" }</w:instrText>
      </w:r>
      <w:r w:rsidR="00683870" w:rsidRPr="00DD67FD">
        <w:rPr>
          <w:sz w:val="24"/>
        </w:rPr>
        <w:fldChar w:fldCharType="end"/>
      </w:r>
      <w:r w:rsidR="00FD0C47" w:rsidRPr="00DD67FD">
        <w:rPr>
          <w:rStyle w:val="EndnoteReference"/>
        </w:rPr>
        <w:endnoteReference w:id="25"/>
      </w:r>
      <w:r w:rsidR="00683870" w:rsidRPr="00DD67FD">
        <w:rPr>
          <w:sz w:val="24"/>
          <w:vertAlign w:val="superscript"/>
        </w:rPr>
        <w:t>,</w:t>
      </w:r>
      <w:r w:rsidR="00FD0C47" w:rsidRPr="00DD67FD">
        <w:rPr>
          <w:rStyle w:val="EndnoteReference"/>
        </w:rPr>
        <w:endnoteReference w:id="26"/>
      </w:r>
      <w:r w:rsidR="00683870" w:rsidRPr="00DD67FD">
        <w:rPr>
          <w:sz w:val="24"/>
          <w:vertAlign w:val="superscript"/>
        </w:rPr>
        <w:t>,</w:t>
      </w:r>
      <w:r w:rsidR="00FD0C47" w:rsidRPr="00DD67FD">
        <w:rPr>
          <w:rStyle w:val="EndnoteReference"/>
        </w:rPr>
        <w:endnoteReference w:id="27"/>
      </w:r>
      <w:r w:rsidR="00683870" w:rsidRPr="00DD67FD">
        <w:rPr>
          <w:sz w:val="24"/>
          <w:vertAlign w:val="superscript"/>
        </w:rPr>
        <w:t>,</w:t>
      </w:r>
      <w:r w:rsidR="00FD0C47" w:rsidRPr="00DD67FD">
        <w:rPr>
          <w:rStyle w:val="EndnoteReference"/>
        </w:rPr>
        <w:endnoteReference w:id="28"/>
      </w:r>
      <w:r w:rsidRPr="004D3468">
        <w:rPr>
          <w:sz w:val="24"/>
        </w:rPr>
        <w:t xml:space="preserve"> </w:t>
      </w:r>
    </w:p>
    <w:p w14:paraId="30991D45" w14:textId="77777777" w:rsidR="006C2E88" w:rsidRDefault="006C2E88" w:rsidP="006C2E88">
      <w:pPr>
        <w:pStyle w:val="EndnoteText"/>
        <w:numPr>
          <w:ilvl w:val="0"/>
          <w:numId w:val="7"/>
        </w:numPr>
        <w:rPr>
          <w:sz w:val="24"/>
        </w:rPr>
      </w:pPr>
      <w:r w:rsidRPr="001C7DC2">
        <w:rPr>
          <w:sz w:val="24"/>
        </w:rPr>
        <w:t>Smoking cigarettes near building entryways can increase air pollution levels by more than two times background levels, with maximum levels reaching the “hazardous” range on the United States EPA’s Air Quality Index;</w:t>
      </w:r>
      <w:r w:rsidR="00FD0C47">
        <w:rPr>
          <w:rStyle w:val="EndnoteReference"/>
        </w:rPr>
        <w:endnoteReference w:id="29"/>
      </w:r>
      <w:r w:rsidRPr="001C7DC2">
        <w:rPr>
          <w:sz w:val="24"/>
        </w:rPr>
        <w:t xml:space="preserve"> and</w:t>
      </w:r>
    </w:p>
    <w:p w14:paraId="31962AED" w14:textId="77777777" w:rsidR="00DD67FD" w:rsidRPr="001C7DC2" w:rsidRDefault="00DD67FD" w:rsidP="00DD67FD">
      <w:pPr>
        <w:pStyle w:val="EndnoteText"/>
        <w:ind w:left="900" w:firstLine="0"/>
        <w:rPr>
          <w:sz w:val="24"/>
        </w:rPr>
      </w:pPr>
    </w:p>
    <w:p w14:paraId="36CA8892" w14:textId="3C47268C" w:rsidR="006C2E88" w:rsidRPr="00DD67FD" w:rsidRDefault="006C2E88" w:rsidP="00DD67FD">
      <w:pPr>
        <w:pStyle w:val="EndnoteText"/>
        <w:numPr>
          <w:ilvl w:val="0"/>
          <w:numId w:val="7"/>
        </w:numPr>
        <w:rPr>
          <w:sz w:val="24"/>
        </w:rPr>
      </w:pPr>
      <w:r w:rsidRPr="001C7DC2">
        <w:rPr>
          <w:sz w:val="24"/>
        </w:rPr>
        <w:lastRenderedPageBreak/>
        <w:t xml:space="preserve">To be completely free from exposure to secondhand smoke in outdoor places, a person may have to move </w:t>
      </w:r>
      <w:r w:rsidR="008B2B4C">
        <w:rPr>
          <w:rFonts w:cs="Times New Roman"/>
          <w:sz w:val="24"/>
        </w:rPr>
        <w:t>20</w:t>
      </w:r>
      <w:r w:rsidR="00427231">
        <w:rPr>
          <w:rFonts w:cs="Times New Roman"/>
          <w:sz w:val="24"/>
        </w:rPr>
        <w:t xml:space="preserve"> to </w:t>
      </w:r>
      <w:r w:rsidR="008B2B4C">
        <w:rPr>
          <w:rFonts w:cs="Times New Roman"/>
          <w:sz w:val="24"/>
        </w:rPr>
        <w:t>2</w:t>
      </w:r>
      <w:r w:rsidR="00E33F91">
        <w:rPr>
          <w:rFonts w:cs="Times New Roman"/>
          <w:sz w:val="24"/>
        </w:rPr>
        <w:t>9</w:t>
      </w:r>
      <w:r w:rsidRPr="004D3468">
        <w:rPr>
          <w:sz w:val="24"/>
        </w:rPr>
        <w:t xml:space="preserve"> feet away from the source of the smoke, about the width of a two-lane road</w:t>
      </w:r>
      <w:r w:rsidR="003B5C5F">
        <w:rPr>
          <w:rFonts w:cs="Times New Roman"/>
          <w:sz w:val="24"/>
        </w:rPr>
        <w:t>.</w:t>
      </w:r>
      <w:r w:rsidR="00683870" w:rsidRPr="00DD67FD">
        <w:rPr>
          <w:sz w:val="24"/>
        </w:rPr>
        <w:fldChar w:fldCharType="begin" w:fldLock="1"/>
      </w:r>
      <w:r w:rsidRPr="00DD67FD">
        <w:rPr>
          <w:rFonts w:cs="Times New Roman"/>
          <w:sz w:val="24"/>
        </w:rPr>
        <w:instrText>ADDIN CSL_CITATION { "citationItems" : [ { "id" : "ITEM-1", "itemData" : { "DOI" : "10.3155/1047-3289.57.5.522", "ISBN" : "1096-2247 (Print)\\r1096-2247 (Linking)", "ISSN" : "1096-2247", "PMID" : "17518219", "abstract" : "The current lack of empirical data on outdoor tobacco smoke (OTS) levels impedes OTS exposure and risk assessments. We sought to measure peak and time-averaged OTS concentrations in common outdoor settings near smokers and to explore the determinants of time-varying OTS levels, including the effects of source proximity and wind. Using five types of real-time airborne particle monitoring devices, we obtained more than 8000 min worth of continuous monitoring data, during which there were measurable OTS levels. Measurement intervals ranged from 2 sec to 1 min for the different instruments. We monitored OTS levels during 15 on-site visits to 10 outdoor public places where active cigar and cigarette smokers were present, including parks, sidewalk caf\u00e9s, and restaurant and pub patios. For three of the visits and during 4 additional days of monitoring outdoors and indoors at a private residence, we controlled smoking activity at precise distances from monitored positions. The overall average OTS respirable particle concentration for the surveys of public places during smoking was approximately 30 microg m(-3). OTS exhibited sharp spikes in particle mass concentration during smoking that sometimes exceeded 1000 microg m(-3) at distances within 0.5 m of the source. Some average concentrations over the duration of a cigarette and within 0.5 m exceeded 200 microg m(-3), with some average downwind levels exceeding 500 microg m(-3). OTS levels in a constant upwind direction from an active cigarette source were nearly zero. OTS levels also approached zero at distances greater than approximately 2 m from a single cigarette. During periods of active smoking, peak and average OTS levels near smokers rivaled indoor tobacco smoke concentrations. However, OTS levels dropped almost instantly after smoking activity ceased. Based on our results, it is possible for OTS to present a nuisance or hazard under certain conditions of wind and smoker proximity.", "author" : [ { "dropping-particle" : "", "family" : "Klepeis", "given" : "Neil E", "non-dropping-particle" : "", "parse-names" : false, "suffix" : "" }, { "dropping-particle" : "", "family" : "Ott", "given" : "Wayne R", "non-dropping-particle" : "", "parse-names" : false, "suffix" : "" }, { "dropping-particle" : "", "family" : "Switzer", "given" : "Paul", "non-dropping-particle" : "", "parse-names" : false, "suffix" : "" } ], "container-title" : "Journal of the Air &amp; Waste Management Association (1995)", "id" : "ITEM-1", "issue" : "August 2013", "issued" : { "date-parts" : [ [ "2007" ] ] }, "page" : "522-534", "title" : "Real-time measurement of outdoor tobacco smoke particles.", "type" : "article-journal", "volume" : "57" }, "uris" : [ "http://www.mendeley.com/documents/?uuid=2dc49f13-de37-4351-b10e-7461bcee766b" ] }, { "id" : "ITEM-2", "itemData" : { "author" : [ { "dropping-particle" : "", "family" : "Repace", "given" : "J", "non-dropping-particle" : "", "parse-names" : false, "suffix" : "" } ], "container-title" : "William Mitchell Law Review", "id" : "ITEM-2", "issue" : "4", "issued" : { "date-parts" : [ [ "2008" ] ] }, "page" : "1621-1638", "title" : "Benefits of Smokefree Regulations in Outdoor Settings: Beaches, Golf Courses, Parks, Patios, and in Motor Vehicles", "type" : "article-journal", "volume" : "34" }, "uris" : [ "http://www.mendeley.com/documents/?uuid=33362f09-b97b-4139-a26b-c3d0f005ffad" ] } ], "mendeley" : { "formattedCitation" : "&lt;sup&gt;8,9&lt;/sup&gt;", "plainTextFormattedCitation" : "8,9", "previouslyFormattedCitation" : "&lt;sup&gt;8,9&lt;/sup&gt;" }, "properties" : { "noteIndex" : 0 }, "schema" : "https://github.com/citation-style-language/schema/raw/master/csl-citation.json" }</w:instrText>
      </w:r>
      <w:r w:rsidR="00683870" w:rsidRPr="00DD67FD">
        <w:rPr>
          <w:sz w:val="24"/>
        </w:rPr>
        <w:fldChar w:fldCharType="end"/>
      </w:r>
      <w:r w:rsidR="00FD0C47" w:rsidRPr="00DD67FD">
        <w:rPr>
          <w:rStyle w:val="EndnoteReference"/>
        </w:rPr>
        <w:endnoteReference w:id="30"/>
      </w:r>
      <w:r w:rsidR="00683870" w:rsidRPr="00DD67FD">
        <w:rPr>
          <w:sz w:val="24"/>
          <w:vertAlign w:val="superscript"/>
        </w:rPr>
        <w:t>,</w:t>
      </w:r>
      <w:r w:rsidR="00FD0C47" w:rsidRPr="00DD67FD">
        <w:rPr>
          <w:rStyle w:val="EndnoteReference"/>
        </w:rPr>
        <w:endnoteReference w:id="31"/>
      </w:r>
      <w:r w:rsidR="00683870" w:rsidRPr="00DD67FD">
        <w:rPr>
          <w:sz w:val="24"/>
          <w:vertAlign w:val="superscript"/>
        </w:rPr>
        <w:t>,</w:t>
      </w:r>
      <w:r w:rsidR="00FD0C47" w:rsidRPr="00DD67FD">
        <w:rPr>
          <w:rStyle w:val="EndnoteReference"/>
        </w:rPr>
        <w:endnoteReference w:id="32"/>
      </w:r>
      <w:r w:rsidRPr="004D3468">
        <w:rPr>
          <w:sz w:val="24"/>
        </w:rPr>
        <w:t xml:space="preserve"> </w:t>
      </w:r>
    </w:p>
    <w:p w14:paraId="4BD2BA11" w14:textId="77777777" w:rsidR="00390BB7" w:rsidRDefault="00390BB7" w:rsidP="006C2E88">
      <w:pPr>
        <w:pStyle w:val="EndnoteText"/>
        <w:rPr>
          <w:sz w:val="24"/>
        </w:rPr>
      </w:pPr>
    </w:p>
    <w:p w14:paraId="1F793E92" w14:textId="7629445F" w:rsidR="006C2E88" w:rsidRPr="001C7DC2" w:rsidRDefault="006C2E88" w:rsidP="00E57BED">
      <w:pPr>
        <w:pStyle w:val="EndnoteText"/>
        <w:rPr>
          <w:sz w:val="24"/>
        </w:rPr>
      </w:pPr>
      <w:r w:rsidRPr="001C7DC2">
        <w:rPr>
          <w:sz w:val="24"/>
        </w:rPr>
        <w:t>WHEREAS, exposure to secondhand smoke causes death and disease, as evidenced by the following:</w:t>
      </w:r>
    </w:p>
    <w:p w14:paraId="09622F80" w14:textId="77777777" w:rsidR="006C2E88" w:rsidRPr="001C7DC2" w:rsidRDefault="006C2E88" w:rsidP="006C2E88">
      <w:pPr>
        <w:pStyle w:val="EndnoteText"/>
        <w:numPr>
          <w:ilvl w:val="0"/>
          <w:numId w:val="7"/>
        </w:numPr>
        <w:rPr>
          <w:sz w:val="24"/>
        </w:rPr>
      </w:pPr>
      <w:r w:rsidRPr="001C7DC2">
        <w:rPr>
          <w:sz w:val="24"/>
        </w:rPr>
        <w:t>Since 1964, approximately 2.5 million nonsmokers have died from health problems caused by exposure to secondhand smoke;</w:t>
      </w:r>
      <w:r w:rsidR="00C14E34">
        <w:rPr>
          <w:rStyle w:val="EndnoteReference"/>
        </w:rPr>
        <w:endnoteReference w:id="33"/>
      </w:r>
      <w:r w:rsidRPr="004D3468">
        <w:rPr>
          <w:sz w:val="24"/>
        </w:rPr>
        <w:t xml:space="preserve"> </w:t>
      </w:r>
    </w:p>
    <w:p w14:paraId="16C4E76B" w14:textId="43C9A8E1" w:rsidR="006C2E88" w:rsidRPr="001C7DC2" w:rsidRDefault="00CE60B1" w:rsidP="006C2E88">
      <w:pPr>
        <w:pStyle w:val="EndnoteText"/>
        <w:numPr>
          <w:ilvl w:val="0"/>
          <w:numId w:val="7"/>
        </w:numPr>
        <w:rPr>
          <w:i/>
          <w:sz w:val="24"/>
        </w:rPr>
      </w:pPr>
      <w:r w:rsidRPr="00CE60B1">
        <w:rPr>
          <w:sz w:val="24"/>
        </w:rPr>
        <w:t>Secondhand smoke was responsible for an estimated 34,000 heart disease–related and 7,300 lung cancer–related deaths among adult nonsmokers each year during 2005-2009 in the United States</w:t>
      </w:r>
      <w:r w:rsidR="006C2E88" w:rsidRPr="001C7DC2">
        <w:rPr>
          <w:sz w:val="24"/>
        </w:rPr>
        <w:t>;</w:t>
      </w:r>
      <w:r w:rsidR="00C14E34">
        <w:rPr>
          <w:rStyle w:val="EndnoteReference"/>
        </w:rPr>
        <w:endnoteReference w:id="34"/>
      </w:r>
      <w:r w:rsidR="00683870" w:rsidRPr="00D4779F">
        <w:rPr>
          <w:sz w:val="24"/>
        </w:rPr>
        <w:fldChar w:fldCharType="begin" w:fldLock="1"/>
      </w:r>
      <w:r w:rsidR="006C2E88" w:rsidRPr="005457D6">
        <w:rPr>
          <w:sz w:val="24"/>
        </w:rPr>
        <w:instrText>ADDIN CSL_CITATION { "citationItems" : [ { "id" : "ITEM-1", "itemData" : { "URL" : "http://www.cdc.gov/tobacco/data_statistics/fact_sheets/secondhand_smoke/general_facts/index.htm", "abstract" : "Data and statistical information on secondhand smoke facts.", "accessed" : { "date-parts" : [ [ "2014", "6", "13" ] ] }, "author" : [ { "dropping-particle" : "", "family" : "Centers for Disease Control and Prevention", "given" : "", "non-dropping-particle" : "", "parse-names" : false, "suffix" : "" } ], "id" : "ITEM-1", "issued" : { "date-parts" : [ [ "2014" ] ] }, "language" : "en-us", "title" : "Secondhand Smoke (SHS) Facts", "type" : "webpage" }, "uris" : [ "http://www.mendeley.com/documents/?uuid=b98aff25-ed13-405c-9bf5-b3333104eb6d" ] } ], "mendeley" : { "formattedCitation" : "&lt;sup&gt;10&lt;/sup&gt;", "plainTextFormattedCitation" : "10", "previouslyFormattedCitation" : "&lt;sup&gt;10&lt;/sup&gt;" }, "properties" : { "noteIndex" : 0 }, "schema" : "https://github.com/citation-style-language/schema/raw/master/csl-citation.json" }</w:instrText>
      </w:r>
      <w:r w:rsidR="00683870" w:rsidRPr="00D4779F">
        <w:rPr>
          <w:sz w:val="24"/>
        </w:rPr>
        <w:fldChar w:fldCharType="end"/>
      </w:r>
      <w:r w:rsidR="006C2E88" w:rsidRPr="004D3468">
        <w:rPr>
          <w:sz w:val="24"/>
        </w:rPr>
        <w:t xml:space="preserve"> </w:t>
      </w:r>
    </w:p>
    <w:p w14:paraId="1AEEA3E7" w14:textId="77777777" w:rsidR="006C2E88" w:rsidRPr="004D3468" w:rsidRDefault="006C2E88" w:rsidP="006C2E88">
      <w:pPr>
        <w:pStyle w:val="EndnoteText"/>
        <w:numPr>
          <w:ilvl w:val="0"/>
          <w:numId w:val="7"/>
        </w:numPr>
        <w:rPr>
          <w:i/>
          <w:sz w:val="24"/>
        </w:rPr>
      </w:pPr>
      <w:r w:rsidRPr="001C7DC2">
        <w:rPr>
          <w:sz w:val="24"/>
        </w:rPr>
        <w:t>Exposure to secondhand smoke increases the risk of coronary heart disease by about 25 percent to 30 percent</w:t>
      </w:r>
      <w:r w:rsidR="00C14E34">
        <w:rPr>
          <w:rStyle w:val="EndnoteReference"/>
        </w:rPr>
        <w:endnoteReference w:id="35"/>
      </w:r>
      <w:r w:rsidR="00683870" w:rsidRPr="004D3468">
        <w:rPr>
          <w:sz w:val="24"/>
        </w:rPr>
        <w:fldChar w:fldCharType="begin" w:fldLock="1"/>
      </w:r>
      <w:r w:rsidRPr="005457D6">
        <w:rPr>
          <w:sz w:val="24"/>
        </w:rPr>
        <w:instrText>ADDIN CSL_CITATION { "citationItems" : [ { "id" : "ITEM-1", "itemData" : { "ISBN" : "9780309138390", "author" : [ { "dropping-particle" : "", "family" : "Institute of Medicine", "given" : "", "non-dropping-particle" : "", "parse-names" : false, "suffix" : "" } ], "id" : "ITEM-1", "issued" : { "date-parts" : [ [ "2010" ] ] }, "publisher-place" : "Washington, DC", "title" : "Secondhand Smoke Exposure and Cardiovascular Effects: Making Sense of the Evidence", "type" : "book" }, "uris" : [ "http://www.mendeley.com/documents/?uuid=e4fb8783-7862-42da-846a-a40ccb77297d" ] } ], "mendeley" : { "formattedCitation" : "&lt;sup&gt;11&lt;/sup&gt;", "plainTextFormattedCitation" : "11", "previouslyFormattedCitation" : "&lt;sup&gt;11&lt;/sup&gt;" }, "properties" : { "noteIndex" : 0 }, "schema" : "https://github.com/citation-style-language/schema/raw/master/csl-citation.json" }</w:instrText>
      </w:r>
      <w:r w:rsidR="00683870" w:rsidRPr="004D3468">
        <w:rPr>
          <w:sz w:val="24"/>
        </w:rPr>
        <w:fldChar w:fldCharType="end"/>
      </w:r>
      <w:r w:rsidRPr="004D3468">
        <w:rPr>
          <w:sz w:val="24"/>
        </w:rPr>
        <w:t xml:space="preserve"> and increases the risk of stroke by 20 percent to 30 percent;</w:t>
      </w:r>
      <w:r w:rsidR="00C14E34">
        <w:rPr>
          <w:rStyle w:val="EndnoteReference"/>
        </w:rPr>
        <w:endnoteReference w:id="36"/>
      </w:r>
      <w:r w:rsidR="00683870" w:rsidRPr="004D3468">
        <w:rPr>
          <w:sz w:val="24"/>
        </w:rPr>
        <w:fldChar w:fldCharType="begin" w:fldLock="1"/>
      </w:r>
      <w:r w:rsidRPr="005457D6">
        <w:rPr>
          <w:sz w:val="24"/>
        </w:rPr>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"type" : "report" }, "uris" : [ "http://www.mendeley.com/documents/?uuid=01287cc3-b1cb-43a1-a1ed-55d2b533aa8a" ] } ], "mendeley" : { "formattedCitation" : "&lt;sup&gt;12&lt;/sup&gt;", "plainTextFormattedCitation" : "12", "previouslyFormattedCitation" : "&lt;sup&gt;12&lt;/sup&gt;" }, "properties" : { "noteIndex" : 0 }, "schema" : "https://github.com/citation-style-language/schema/raw/master/csl-citation.json" }</w:instrText>
      </w:r>
      <w:r w:rsidR="00683870" w:rsidRPr="004D3468">
        <w:rPr>
          <w:sz w:val="24"/>
        </w:rPr>
        <w:fldChar w:fldCharType="end"/>
      </w:r>
      <w:r w:rsidRPr="004D3468">
        <w:rPr>
          <w:sz w:val="24"/>
        </w:rPr>
        <w:t xml:space="preserve"> and </w:t>
      </w:r>
    </w:p>
    <w:p w14:paraId="501298F4" w14:textId="77777777" w:rsidR="00225832" w:rsidRPr="00731969" w:rsidRDefault="00731969" w:rsidP="006C2E88">
      <w:pPr>
        <w:pStyle w:val="EndnoteText"/>
        <w:numPr>
          <w:ilvl w:val="0"/>
          <w:numId w:val="7"/>
        </w:numPr>
        <w:rPr>
          <w:rFonts w:cs="Times New Roman"/>
          <w:i/>
          <w:sz w:val="24"/>
        </w:rPr>
      </w:pPr>
      <w:r w:rsidRPr="00731969">
        <w:rPr>
          <w:rFonts w:cs="Times New Roman"/>
          <w:sz w:val="24"/>
        </w:rPr>
        <w:t>Secondhand smoke kills more than 400 infants every year;</w:t>
      </w:r>
      <w:r w:rsidR="00C14E34">
        <w:rPr>
          <w:rStyle w:val="EndnoteReference"/>
          <w:rFonts w:cs="Times New Roman"/>
        </w:rPr>
        <w:endnoteReference w:id="37"/>
      </w:r>
    </w:p>
    <w:p w14:paraId="74829FC8" w14:textId="77777777" w:rsidR="006C2E88" w:rsidRPr="004D3468" w:rsidRDefault="006C2E88" w:rsidP="006C2E88">
      <w:pPr>
        <w:pStyle w:val="EndnoteText"/>
        <w:rPr>
          <w:sz w:val="24"/>
        </w:rPr>
      </w:pPr>
    </w:p>
    <w:p w14:paraId="61390A88" w14:textId="311528C3" w:rsidR="001B2CB9" w:rsidRPr="00F61C79" w:rsidRDefault="001B2CB9" w:rsidP="001A7EB0">
      <w:pPr>
        <w:pStyle w:val="BasicParagraph"/>
        <w:spacing w:after="60" w:line="276" w:lineRule="auto"/>
        <w:rPr>
          <w:rFonts w:cs="Times New Roman"/>
        </w:rPr>
      </w:pPr>
      <w:r w:rsidRPr="00F61C79">
        <w:rPr>
          <w:rFonts w:cs="Times New Roman"/>
        </w:rPr>
        <w:t>WHEREAS,</w:t>
      </w:r>
      <w:r>
        <w:rPr>
          <w:rFonts w:cs="Times New Roman"/>
        </w:rPr>
        <w:t xml:space="preserve"> electronic smoking device </w:t>
      </w:r>
      <w:r w:rsidRPr="00F61C79">
        <w:rPr>
          <w:rFonts w:cs="Times New Roman"/>
        </w:rPr>
        <w:t>aerosol</w:t>
      </w:r>
      <w:r>
        <w:rPr>
          <w:rFonts w:cs="Times New Roman"/>
        </w:rPr>
        <w:t xml:space="preserve"> </w:t>
      </w:r>
      <w:r w:rsidR="00737EEF">
        <w:rPr>
          <w:rFonts w:cs="Times New Roman"/>
        </w:rPr>
        <w:t>may be considered a</w:t>
      </w:r>
      <w:r w:rsidR="006327CB">
        <w:rPr>
          <w:rFonts w:cs="Times New Roman"/>
        </w:rPr>
        <w:t xml:space="preserve"> </w:t>
      </w:r>
      <w:r w:rsidRPr="00F61C79">
        <w:rPr>
          <w:rFonts w:cs="Times New Roman"/>
        </w:rPr>
        <w:t>health</w:t>
      </w:r>
      <w:r>
        <w:rPr>
          <w:rFonts w:cs="Times New Roman"/>
        </w:rPr>
        <w:t xml:space="preserve"> </w:t>
      </w:r>
      <w:r w:rsidRPr="00F61C79">
        <w:rPr>
          <w:rFonts w:cs="Times New Roman"/>
        </w:rPr>
        <w:t>hazard,</w:t>
      </w:r>
      <w:r>
        <w:rPr>
          <w:rFonts w:cs="Times New Roman"/>
        </w:rPr>
        <w:t xml:space="preserve"> </w:t>
      </w:r>
      <w:r w:rsidRPr="00F61C79">
        <w:rPr>
          <w:rFonts w:cs="Times New Roman"/>
        </w:rPr>
        <w:t>as</w:t>
      </w:r>
      <w:r>
        <w:rPr>
          <w:rFonts w:cs="Times New Roman"/>
        </w:rPr>
        <w:t xml:space="preserve"> </w:t>
      </w:r>
      <w:r w:rsidRPr="00F61C79">
        <w:rPr>
          <w:rFonts w:cs="Times New Roman"/>
        </w:rPr>
        <w:t>evidenced</w:t>
      </w:r>
      <w:r>
        <w:rPr>
          <w:rFonts w:cs="Times New Roman"/>
        </w:rPr>
        <w:t xml:space="preserve"> </w:t>
      </w:r>
      <w:r w:rsidRPr="00F61C79">
        <w:rPr>
          <w:rFonts w:cs="Times New Roman"/>
        </w:rPr>
        <w:t>by</w:t>
      </w:r>
      <w:r>
        <w:rPr>
          <w:rFonts w:cs="Times New Roman"/>
        </w:rPr>
        <w:t xml:space="preserve"> </w:t>
      </w:r>
      <w:r w:rsidRPr="00F61C79">
        <w:rPr>
          <w:rFonts w:cs="Times New Roman"/>
        </w:rPr>
        <w:t>the</w:t>
      </w:r>
      <w:r>
        <w:rPr>
          <w:rFonts w:cs="Times New Roman"/>
        </w:rPr>
        <w:t xml:space="preserve"> </w:t>
      </w:r>
      <w:r w:rsidRPr="00F61C79">
        <w:rPr>
          <w:rFonts w:cs="Times New Roman"/>
        </w:rPr>
        <w:t>following:</w:t>
      </w:r>
    </w:p>
    <w:p w14:paraId="6455F871" w14:textId="71486A7D" w:rsidR="001B2CB9" w:rsidRPr="00F61C79" w:rsidRDefault="001B2CB9" w:rsidP="001B2CB9">
      <w:pPr>
        <w:pStyle w:val="MediumGrid1-Accent22"/>
        <w:numPr>
          <w:ilvl w:val="0"/>
          <w:numId w:val="14"/>
        </w:numPr>
        <w:spacing w:after="0"/>
        <w:rPr>
          <w:rFonts w:ascii="Times New Roman" w:hAnsi="Times New Roman"/>
          <w:sz w:val="24"/>
          <w:szCs w:val="24"/>
        </w:rPr>
      </w:pPr>
      <w:r w:rsidRPr="00F61C79">
        <w:rPr>
          <w:rFonts w:ascii="Times New Roman" w:hAnsi="Times New Roman"/>
          <w:sz w:val="24"/>
          <w:szCs w:val="24"/>
        </w:rPr>
        <w:t>Research</w:t>
      </w:r>
      <w:r>
        <w:rPr>
          <w:rFonts w:ascii="Times New Roman" w:hAnsi="Times New Roman"/>
          <w:sz w:val="24"/>
          <w:szCs w:val="24"/>
        </w:rPr>
        <w:t xml:space="preserve"> </w:t>
      </w:r>
      <w:r w:rsidRPr="00F61C79">
        <w:rPr>
          <w:rFonts w:ascii="Times New Roman" w:hAnsi="Times New Roman"/>
          <w:sz w:val="24"/>
          <w:szCs w:val="24"/>
        </w:rPr>
        <w:t>has</w:t>
      </w:r>
      <w:r>
        <w:rPr>
          <w:rFonts w:ascii="Times New Roman" w:hAnsi="Times New Roman"/>
          <w:sz w:val="24"/>
          <w:szCs w:val="24"/>
        </w:rPr>
        <w:t xml:space="preserve"> </w:t>
      </w:r>
      <w:r w:rsidRPr="00F61C79">
        <w:rPr>
          <w:rFonts w:ascii="Times New Roman" w:hAnsi="Times New Roman"/>
          <w:sz w:val="24"/>
          <w:szCs w:val="24"/>
        </w:rPr>
        <w:t>found</w:t>
      </w:r>
      <w:r>
        <w:rPr>
          <w:rFonts w:ascii="Times New Roman" w:hAnsi="Times New Roman"/>
          <w:sz w:val="24"/>
          <w:szCs w:val="24"/>
        </w:rPr>
        <w:t xml:space="preserve"> electronic smoking device </w:t>
      </w:r>
      <w:r w:rsidR="00687D51">
        <w:rPr>
          <w:rFonts w:ascii="Times New Roman" w:hAnsi="Times New Roman"/>
          <w:sz w:val="24"/>
          <w:szCs w:val="24"/>
        </w:rPr>
        <w:t>aerosol</w:t>
      </w:r>
      <w:r>
        <w:rPr>
          <w:rFonts w:ascii="Times New Roman" w:hAnsi="Times New Roman"/>
          <w:sz w:val="24"/>
          <w:szCs w:val="24"/>
        </w:rPr>
        <w:t xml:space="preserve"> contains </w:t>
      </w:r>
      <w:r w:rsidRPr="00F61C79">
        <w:rPr>
          <w:rFonts w:ascii="Times New Roman" w:hAnsi="Times New Roman"/>
          <w:sz w:val="24"/>
          <w:szCs w:val="24"/>
        </w:rPr>
        <w:t>at</w:t>
      </w:r>
      <w:r>
        <w:rPr>
          <w:rFonts w:ascii="Times New Roman" w:hAnsi="Times New Roman"/>
          <w:sz w:val="24"/>
          <w:szCs w:val="24"/>
        </w:rPr>
        <w:t xml:space="preserve"> </w:t>
      </w:r>
      <w:r w:rsidRPr="00F61C79">
        <w:rPr>
          <w:rFonts w:ascii="Times New Roman" w:hAnsi="Times New Roman"/>
          <w:sz w:val="24"/>
          <w:szCs w:val="24"/>
        </w:rPr>
        <w:t>least</w:t>
      </w:r>
      <w:r>
        <w:rPr>
          <w:rFonts w:ascii="Times New Roman" w:hAnsi="Times New Roman"/>
          <w:sz w:val="24"/>
          <w:szCs w:val="24"/>
        </w:rPr>
        <w:t xml:space="preserve"> </w:t>
      </w:r>
      <w:r w:rsidR="00427231">
        <w:rPr>
          <w:rFonts w:ascii="Times New Roman" w:hAnsi="Times New Roman"/>
          <w:sz w:val="24"/>
          <w:szCs w:val="24"/>
        </w:rPr>
        <w:t xml:space="preserve">10 </w:t>
      </w:r>
      <w:r w:rsidRPr="00F61C79">
        <w:rPr>
          <w:rFonts w:ascii="Times New Roman" w:hAnsi="Times New Roman"/>
          <w:sz w:val="24"/>
          <w:szCs w:val="24"/>
        </w:rPr>
        <w:t>chemicals</w:t>
      </w:r>
      <w:r>
        <w:rPr>
          <w:rFonts w:ascii="Times New Roman" w:hAnsi="Times New Roman"/>
          <w:sz w:val="24"/>
          <w:szCs w:val="24"/>
        </w:rPr>
        <w:t xml:space="preserve"> </w:t>
      </w:r>
      <w:r w:rsidRPr="00F61C79">
        <w:rPr>
          <w:rFonts w:ascii="Times New Roman" w:hAnsi="Times New Roman"/>
          <w:sz w:val="24"/>
          <w:szCs w:val="24"/>
        </w:rPr>
        <w:t>known</w:t>
      </w:r>
      <w:r>
        <w:rPr>
          <w:rFonts w:ascii="Times New Roman" w:hAnsi="Times New Roman"/>
          <w:sz w:val="24"/>
          <w:szCs w:val="24"/>
        </w:rPr>
        <w:t xml:space="preserve"> </w:t>
      </w:r>
      <w:r w:rsidRPr="00F61C79">
        <w:rPr>
          <w:rFonts w:ascii="Times New Roman" w:hAnsi="Times New Roman"/>
          <w:sz w:val="24"/>
          <w:szCs w:val="24"/>
        </w:rPr>
        <w:t>to</w:t>
      </w:r>
      <w:r>
        <w:rPr>
          <w:rFonts w:ascii="Times New Roman" w:hAnsi="Times New Roman"/>
          <w:sz w:val="24"/>
          <w:szCs w:val="24"/>
        </w:rPr>
        <w:t xml:space="preserve"> </w:t>
      </w:r>
      <w:r w:rsidRPr="00F61C79">
        <w:rPr>
          <w:rFonts w:ascii="Times New Roman" w:hAnsi="Times New Roman"/>
          <w:sz w:val="24"/>
          <w:szCs w:val="24"/>
        </w:rPr>
        <w:t>the</w:t>
      </w:r>
      <w:r>
        <w:rPr>
          <w:rFonts w:ascii="Times New Roman" w:hAnsi="Times New Roman"/>
          <w:sz w:val="24"/>
          <w:szCs w:val="24"/>
        </w:rPr>
        <w:t xml:space="preserve"> </w:t>
      </w:r>
      <w:r w:rsidRPr="00F61C79">
        <w:rPr>
          <w:rFonts w:ascii="Times New Roman" w:hAnsi="Times New Roman"/>
          <w:sz w:val="24"/>
          <w:szCs w:val="24"/>
        </w:rPr>
        <w:t>State</w:t>
      </w:r>
      <w:r>
        <w:rPr>
          <w:rFonts w:ascii="Times New Roman" w:hAnsi="Times New Roman"/>
          <w:sz w:val="24"/>
          <w:szCs w:val="24"/>
        </w:rPr>
        <w:t xml:space="preserve"> </w:t>
      </w:r>
      <w:r w:rsidRPr="00F61C79">
        <w:rPr>
          <w:rFonts w:ascii="Times New Roman" w:hAnsi="Times New Roman"/>
          <w:sz w:val="24"/>
          <w:szCs w:val="24"/>
        </w:rPr>
        <w:t>of</w:t>
      </w:r>
      <w:r>
        <w:rPr>
          <w:rFonts w:ascii="Times New Roman" w:hAnsi="Times New Roman"/>
          <w:sz w:val="24"/>
          <w:szCs w:val="24"/>
        </w:rPr>
        <w:t xml:space="preserve"> </w:t>
      </w:r>
      <w:r w:rsidRPr="00F61C79">
        <w:rPr>
          <w:rFonts w:ascii="Times New Roman" w:hAnsi="Times New Roman"/>
          <w:sz w:val="24"/>
          <w:szCs w:val="24"/>
        </w:rPr>
        <w:t>California</w:t>
      </w:r>
      <w:r>
        <w:rPr>
          <w:rFonts w:ascii="Times New Roman" w:hAnsi="Times New Roman"/>
          <w:sz w:val="24"/>
          <w:szCs w:val="24"/>
        </w:rPr>
        <w:t xml:space="preserve"> </w:t>
      </w:r>
      <w:r w:rsidRPr="00F61C79">
        <w:rPr>
          <w:rFonts w:ascii="Times New Roman" w:hAnsi="Times New Roman"/>
          <w:sz w:val="24"/>
          <w:szCs w:val="24"/>
        </w:rPr>
        <w:t>to</w:t>
      </w:r>
      <w:r>
        <w:rPr>
          <w:rFonts w:ascii="Times New Roman" w:hAnsi="Times New Roman"/>
          <w:sz w:val="24"/>
          <w:szCs w:val="24"/>
        </w:rPr>
        <w:t xml:space="preserve"> </w:t>
      </w:r>
      <w:r w:rsidRPr="00F61C79">
        <w:rPr>
          <w:rFonts w:ascii="Times New Roman" w:hAnsi="Times New Roman"/>
          <w:sz w:val="24"/>
          <w:szCs w:val="24"/>
        </w:rPr>
        <w:t>cause</w:t>
      </w:r>
      <w:r>
        <w:rPr>
          <w:rFonts w:ascii="Times New Roman" w:hAnsi="Times New Roman"/>
          <w:sz w:val="24"/>
          <w:szCs w:val="24"/>
        </w:rPr>
        <w:t xml:space="preserve"> </w:t>
      </w:r>
      <w:r w:rsidRPr="00F61C79">
        <w:rPr>
          <w:rFonts w:ascii="Times New Roman" w:hAnsi="Times New Roman"/>
          <w:sz w:val="24"/>
          <w:szCs w:val="24"/>
        </w:rPr>
        <w:t>cancer,</w:t>
      </w:r>
      <w:r>
        <w:rPr>
          <w:rFonts w:ascii="Times New Roman" w:hAnsi="Times New Roman"/>
          <w:sz w:val="24"/>
          <w:szCs w:val="24"/>
        </w:rPr>
        <w:t xml:space="preserve"> </w:t>
      </w:r>
      <w:r w:rsidRPr="00F61C79">
        <w:rPr>
          <w:rFonts w:ascii="Times New Roman" w:hAnsi="Times New Roman"/>
          <w:sz w:val="24"/>
          <w:szCs w:val="24"/>
        </w:rPr>
        <w:t>birth</w:t>
      </w:r>
      <w:r>
        <w:rPr>
          <w:rFonts w:ascii="Times New Roman" w:hAnsi="Times New Roman"/>
          <w:sz w:val="24"/>
          <w:szCs w:val="24"/>
        </w:rPr>
        <w:t xml:space="preserve"> </w:t>
      </w:r>
      <w:r w:rsidRPr="00F61C79">
        <w:rPr>
          <w:rFonts w:ascii="Times New Roman" w:hAnsi="Times New Roman"/>
          <w:sz w:val="24"/>
          <w:szCs w:val="24"/>
        </w:rPr>
        <w:t>defects</w:t>
      </w:r>
      <w:r>
        <w:rPr>
          <w:rFonts w:ascii="Times New Roman" w:hAnsi="Times New Roman"/>
          <w:sz w:val="24"/>
          <w:szCs w:val="24"/>
        </w:rPr>
        <w:t xml:space="preserve">, </w:t>
      </w:r>
      <w:r w:rsidRPr="00F61C79">
        <w:rPr>
          <w:rFonts w:ascii="Times New Roman" w:hAnsi="Times New Roman"/>
          <w:sz w:val="24"/>
          <w:szCs w:val="24"/>
        </w:rPr>
        <w:t>or</w:t>
      </w:r>
      <w:r>
        <w:rPr>
          <w:rFonts w:ascii="Times New Roman" w:hAnsi="Times New Roman"/>
          <w:sz w:val="24"/>
          <w:szCs w:val="24"/>
        </w:rPr>
        <w:t xml:space="preserve"> </w:t>
      </w:r>
      <w:r w:rsidRPr="00F61C79">
        <w:rPr>
          <w:rFonts w:ascii="Times New Roman" w:hAnsi="Times New Roman"/>
          <w:sz w:val="24"/>
          <w:szCs w:val="24"/>
        </w:rPr>
        <w:t>other</w:t>
      </w:r>
      <w:r>
        <w:rPr>
          <w:rFonts w:ascii="Times New Roman" w:hAnsi="Times New Roman"/>
          <w:sz w:val="24"/>
          <w:szCs w:val="24"/>
        </w:rPr>
        <w:t xml:space="preserve"> </w:t>
      </w:r>
      <w:r w:rsidRPr="00F61C79">
        <w:rPr>
          <w:rFonts w:ascii="Times New Roman" w:hAnsi="Times New Roman"/>
          <w:sz w:val="24"/>
          <w:szCs w:val="24"/>
        </w:rPr>
        <w:t>reproductive</w:t>
      </w:r>
      <w:r>
        <w:rPr>
          <w:rFonts w:ascii="Times New Roman" w:hAnsi="Times New Roman"/>
          <w:sz w:val="24"/>
          <w:szCs w:val="24"/>
        </w:rPr>
        <w:t xml:space="preserve"> </w:t>
      </w:r>
      <w:r w:rsidRPr="00F61C79">
        <w:rPr>
          <w:rFonts w:ascii="Times New Roman" w:hAnsi="Times New Roman"/>
          <w:sz w:val="24"/>
          <w:szCs w:val="24"/>
        </w:rPr>
        <w:t>harm</w:t>
      </w:r>
      <w:r>
        <w:rPr>
          <w:rFonts w:ascii="Times New Roman" w:hAnsi="Times New Roman"/>
          <w:sz w:val="24"/>
          <w:szCs w:val="24"/>
        </w:rPr>
        <w:t>,</w:t>
      </w:r>
      <w:r w:rsidR="00C14E34">
        <w:rPr>
          <w:rStyle w:val="EndnoteReference"/>
          <w:szCs w:val="24"/>
        </w:rPr>
        <w:endnoteReference w:id="38"/>
      </w:r>
      <w:r w:rsidR="00683870" w:rsidRPr="00523F2E">
        <w:rPr>
          <w:rFonts w:ascii="Times New Roman" w:hAnsi="Times New Roman"/>
          <w:position w:val="-4"/>
          <w:sz w:val="24"/>
          <w:szCs w:val="24"/>
          <w:vertAlign w:val="superscript"/>
        </w:rPr>
        <w:t>,</w:t>
      </w:r>
      <w:r w:rsidR="00C14E34">
        <w:rPr>
          <w:rStyle w:val="EndnoteReference"/>
          <w:szCs w:val="24"/>
        </w:rPr>
        <w:endnoteReference w:id="39"/>
      </w:r>
      <w:r>
        <w:rPr>
          <w:rFonts w:ascii="Times New Roman" w:hAnsi="Times New Roman"/>
          <w:sz w:val="24"/>
          <w:szCs w:val="24"/>
        </w:rPr>
        <w:t xml:space="preserve"> </w:t>
      </w:r>
      <w:r w:rsidRPr="00F61C79">
        <w:rPr>
          <w:rFonts w:ascii="Times New Roman" w:hAnsi="Times New Roman"/>
          <w:sz w:val="24"/>
          <w:szCs w:val="24"/>
        </w:rPr>
        <w:t>such</w:t>
      </w:r>
      <w:r>
        <w:rPr>
          <w:rFonts w:ascii="Times New Roman" w:hAnsi="Times New Roman"/>
          <w:sz w:val="24"/>
          <w:szCs w:val="24"/>
        </w:rPr>
        <w:t xml:space="preserve"> </w:t>
      </w:r>
      <w:r w:rsidRPr="00F61C79">
        <w:rPr>
          <w:rFonts w:ascii="Times New Roman" w:hAnsi="Times New Roman"/>
          <w:sz w:val="24"/>
          <w:szCs w:val="24"/>
        </w:rPr>
        <w:t>as</w:t>
      </w:r>
      <w:r>
        <w:rPr>
          <w:rFonts w:ascii="Times New Roman" w:hAnsi="Times New Roman"/>
          <w:sz w:val="24"/>
          <w:szCs w:val="24"/>
        </w:rPr>
        <w:t xml:space="preserve"> </w:t>
      </w:r>
      <w:r w:rsidRPr="00F61C79">
        <w:rPr>
          <w:rFonts w:ascii="Times New Roman" w:hAnsi="Times New Roman"/>
          <w:sz w:val="24"/>
          <w:szCs w:val="24"/>
        </w:rPr>
        <w:t>formaldehyde,</w:t>
      </w:r>
      <w:r>
        <w:rPr>
          <w:rFonts w:ascii="Times New Roman" w:hAnsi="Times New Roman"/>
          <w:sz w:val="24"/>
          <w:szCs w:val="24"/>
        </w:rPr>
        <w:t xml:space="preserve"> </w:t>
      </w:r>
      <w:r w:rsidRPr="00F61C79">
        <w:rPr>
          <w:rFonts w:ascii="Times New Roman" w:hAnsi="Times New Roman"/>
          <w:sz w:val="24"/>
          <w:szCs w:val="24"/>
        </w:rPr>
        <w:t>acetaldehyde,</w:t>
      </w:r>
      <w:r>
        <w:rPr>
          <w:rFonts w:ascii="Times New Roman" w:hAnsi="Times New Roman"/>
          <w:sz w:val="24"/>
          <w:szCs w:val="24"/>
        </w:rPr>
        <w:t xml:space="preserve"> </w:t>
      </w:r>
      <w:r w:rsidRPr="00F61C79">
        <w:rPr>
          <w:rFonts w:ascii="Times New Roman" w:hAnsi="Times New Roman"/>
          <w:color w:val="000000"/>
          <w:sz w:val="24"/>
          <w:szCs w:val="24"/>
        </w:rPr>
        <w:t>lead,</w:t>
      </w:r>
      <w:r>
        <w:rPr>
          <w:rFonts w:ascii="Times New Roman" w:hAnsi="Times New Roman"/>
          <w:sz w:val="24"/>
          <w:szCs w:val="24"/>
        </w:rPr>
        <w:t xml:space="preserve"> </w:t>
      </w:r>
      <w:r w:rsidRPr="00F61C79">
        <w:rPr>
          <w:rFonts w:ascii="Times New Roman" w:hAnsi="Times New Roman"/>
          <w:sz w:val="24"/>
          <w:szCs w:val="24"/>
        </w:rPr>
        <w:t>nickel,</w:t>
      </w:r>
      <w:r>
        <w:rPr>
          <w:rFonts w:ascii="Times New Roman" w:hAnsi="Times New Roman"/>
          <w:sz w:val="24"/>
          <w:szCs w:val="24"/>
        </w:rPr>
        <w:t xml:space="preserve"> </w:t>
      </w:r>
      <w:r w:rsidRPr="00F61C79">
        <w:rPr>
          <w:rFonts w:ascii="Times New Roman" w:hAnsi="Times New Roman"/>
          <w:sz w:val="24"/>
          <w:szCs w:val="24"/>
        </w:rPr>
        <w:t>and</w:t>
      </w:r>
      <w:r>
        <w:rPr>
          <w:rFonts w:ascii="Times New Roman" w:hAnsi="Times New Roman"/>
          <w:sz w:val="24"/>
          <w:szCs w:val="24"/>
        </w:rPr>
        <w:t xml:space="preserve"> </w:t>
      </w:r>
      <w:r w:rsidR="00A35D54">
        <w:rPr>
          <w:rFonts w:ascii="Times New Roman" w:hAnsi="Times New Roman"/>
          <w:sz w:val="24"/>
          <w:szCs w:val="24"/>
        </w:rPr>
        <w:t>toluene</w:t>
      </w:r>
      <w:r w:rsidR="00737EEF">
        <w:rPr>
          <w:rFonts w:ascii="Times New Roman" w:hAnsi="Times New Roman"/>
          <w:sz w:val="24"/>
          <w:szCs w:val="24"/>
        </w:rPr>
        <w:t>;</w:t>
      </w:r>
      <w:r w:rsidR="00C14E34">
        <w:rPr>
          <w:rStyle w:val="EndnoteReference"/>
          <w:szCs w:val="24"/>
        </w:rPr>
        <w:endnoteReference w:id="40"/>
      </w:r>
      <w:r w:rsidR="00683870" w:rsidRPr="00523F2E">
        <w:rPr>
          <w:rFonts w:ascii="Times New Roman" w:hAnsi="Times New Roman"/>
          <w:position w:val="-4"/>
          <w:sz w:val="24"/>
          <w:szCs w:val="24"/>
          <w:vertAlign w:val="superscript"/>
        </w:rPr>
        <w:t>,</w:t>
      </w:r>
      <w:r w:rsidR="00C14E34" w:rsidRPr="00427231">
        <w:rPr>
          <w:rStyle w:val="EndnoteReference"/>
          <w:szCs w:val="24"/>
        </w:rPr>
        <w:endnoteReference w:id="41"/>
      </w:r>
      <w:r w:rsidR="00683870" w:rsidRPr="00523F2E">
        <w:rPr>
          <w:rFonts w:ascii="Times New Roman" w:hAnsi="Times New Roman"/>
          <w:position w:val="-4"/>
          <w:sz w:val="24"/>
          <w:szCs w:val="24"/>
          <w:vertAlign w:val="superscript"/>
        </w:rPr>
        <w:t>,</w:t>
      </w:r>
      <w:r w:rsidR="00C14E34" w:rsidRPr="00427231">
        <w:rPr>
          <w:rStyle w:val="EndnoteReference"/>
          <w:szCs w:val="24"/>
        </w:rPr>
        <w:endnoteReference w:id="42"/>
      </w:r>
      <w:r w:rsidR="00683870" w:rsidRPr="00523F2E">
        <w:rPr>
          <w:rFonts w:ascii="Times New Roman" w:hAnsi="Times New Roman"/>
          <w:position w:val="-4"/>
          <w:sz w:val="24"/>
          <w:szCs w:val="24"/>
          <w:vertAlign w:val="superscript"/>
        </w:rPr>
        <w:t>,</w:t>
      </w:r>
      <w:r w:rsidR="00C14E34" w:rsidRPr="00427231">
        <w:rPr>
          <w:rStyle w:val="EndnoteReference"/>
          <w:szCs w:val="24"/>
        </w:rPr>
        <w:endnoteReference w:id="43"/>
      </w:r>
      <w:r w:rsidR="00683870" w:rsidRPr="00523F2E">
        <w:rPr>
          <w:rFonts w:ascii="Times New Roman" w:hAnsi="Times New Roman"/>
          <w:position w:val="-4"/>
          <w:sz w:val="24"/>
          <w:szCs w:val="24"/>
          <w:vertAlign w:val="superscript"/>
        </w:rPr>
        <w:t>,</w:t>
      </w:r>
      <w:r w:rsidR="00C14E34" w:rsidRPr="00427231">
        <w:rPr>
          <w:rStyle w:val="EndnoteReference"/>
          <w:szCs w:val="24"/>
        </w:rPr>
        <w:endnoteReference w:id="44"/>
      </w:r>
      <w:r w:rsidR="00683870" w:rsidRPr="00523F2E">
        <w:rPr>
          <w:rFonts w:ascii="Times New Roman" w:hAnsi="Times New Roman"/>
          <w:position w:val="-4"/>
          <w:sz w:val="24"/>
          <w:szCs w:val="24"/>
          <w:vertAlign w:val="superscript"/>
        </w:rPr>
        <w:t>,</w:t>
      </w:r>
      <w:r w:rsidR="00C14E34">
        <w:rPr>
          <w:rStyle w:val="EndnoteReference"/>
          <w:szCs w:val="24"/>
        </w:rPr>
        <w:endnoteReference w:id="45"/>
      </w:r>
      <w:r w:rsidR="00A35D54">
        <w:rPr>
          <w:rFonts w:ascii="Times New Roman" w:hAnsi="Times New Roman"/>
          <w:sz w:val="24"/>
          <w:szCs w:val="24"/>
        </w:rPr>
        <w:t xml:space="preserve"> </w:t>
      </w:r>
    </w:p>
    <w:p w14:paraId="5128FC9D" w14:textId="77777777" w:rsidR="00CD6397" w:rsidRDefault="004F3235" w:rsidP="001B2CB9">
      <w:pPr>
        <w:pStyle w:val="MediumGrid1-Accent22"/>
        <w:numPr>
          <w:ilvl w:val="0"/>
          <w:numId w:val="13"/>
        </w:numPr>
        <w:spacing w:after="0"/>
        <w:rPr>
          <w:rFonts w:ascii="Times New Roman" w:hAnsi="Times New Roman"/>
          <w:sz w:val="24"/>
          <w:szCs w:val="24"/>
        </w:rPr>
      </w:pPr>
      <w:r>
        <w:rPr>
          <w:rFonts w:ascii="Times New Roman" w:hAnsi="Times New Roman"/>
          <w:sz w:val="24"/>
          <w:szCs w:val="24"/>
        </w:rPr>
        <w:t xml:space="preserve">Electronic smoking device aerosol </w:t>
      </w:r>
      <w:r w:rsidR="00CD6397">
        <w:rPr>
          <w:rFonts w:ascii="Times New Roman" w:hAnsi="Times New Roman"/>
          <w:sz w:val="24"/>
          <w:szCs w:val="24"/>
        </w:rPr>
        <w:t xml:space="preserve">is </w:t>
      </w:r>
      <w:r>
        <w:rPr>
          <w:rFonts w:ascii="Times New Roman" w:hAnsi="Times New Roman"/>
          <w:sz w:val="24"/>
          <w:szCs w:val="24"/>
        </w:rPr>
        <w:t>not harmless water vapor</w:t>
      </w:r>
      <w:r w:rsidR="00CD6397">
        <w:rPr>
          <w:rFonts w:ascii="Times New Roman" w:hAnsi="Times New Roman"/>
          <w:sz w:val="24"/>
          <w:szCs w:val="24"/>
        </w:rPr>
        <w:t xml:space="preserve"> as it contains</w:t>
      </w:r>
      <w:r w:rsidR="00374ECC">
        <w:rPr>
          <w:rFonts w:ascii="Times New Roman" w:hAnsi="Times New Roman"/>
          <w:sz w:val="24"/>
          <w:szCs w:val="24"/>
        </w:rPr>
        <w:t xml:space="preserve"> varying </w:t>
      </w:r>
      <w:r w:rsidR="006327CB">
        <w:rPr>
          <w:rFonts w:ascii="Times New Roman" w:hAnsi="Times New Roman"/>
          <w:sz w:val="24"/>
          <w:szCs w:val="24"/>
        </w:rPr>
        <w:t>concentrations</w:t>
      </w:r>
      <w:r w:rsidR="00374ECC">
        <w:rPr>
          <w:rFonts w:ascii="Times New Roman" w:hAnsi="Times New Roman"/>
          <w:sz w:val="24"/>
          <w:szCs w:val="24"/>
        </w:rPr>
        <w:t xml:space="preserve"> of</w:t>
      </w:r>
      <w:r w:rsidR="00CD6397">
        <w:rPr>
          <w:rFonts w:ascii="Times New Roman" w:hAnsi="Times New Roman"/>
          <w:sz w:val="24"/>
          <w:szCs w:val="24"/>
        </w:rPr>
        <w:t xml:space="preserve"> particles and </w:t>
      </w:r>
      <w:r w:rsidR="0092663C">
        <w:rPr>
          <w:rFonts w:ascii="Times New Roman" w:hAnsi="Times New Roman"/>
          <w:sz w:val="24"/>
          <w:szCs w:val="24"/>
        </w:rPr>
        <w:t>chemicals</w:t>
      </w:r>
      <w:r w:rsidR="006B624C">
        <w:rPr>
          <w:rFonts w:ascii="Times New Roman" w:hAnsi="Times New Roman"/>
          <w:sz w:val="24"/>
          <w:szCs w:val="24"/>
        </w:rPr>
        <w:t xml:space="preserve"> with some studies </w:t>
      </w:r>
      <w:r w:rsidR="00C770A5">
        <w:rPr>
          <w:rFonts w:ascii="Times New Roman" w:hAnsi="Times New Roman"/>
          <w:sz w:val="24"/>
          <w:szCs w:val="24"/>
        </w:rPr>
        <w:t>finding particle sizes and nicotine concentrations</w:t>
      </w:r>
      <w:r w:rsidR="0092663C">
        <w:rPr>
          <w:rFonts w:ascii="Times New Roman" w:hAnsi="Times New Roman"/>
          <w:sz w:val="24"/>
          <w:szCs w:val="24"/>
        </w:rPr>
        <w:t xml:space="preserve"> </w:t>
      </w:r>
      <w:r w:rsidR="00E00964">
        <w:rPr>
          <w:rFonts w:ascii="Times New Roman" w:hAnsi="Times New Roman"/>
          <w:sz w:val="24"/>
          <w:szCs w:val="24"/>
        </w:rPr>
        <w:t>similar</w:t>
      </w:r>
      <w:r w:rsidR="0092663C">
        <w:rPr>
          <w:rFonts w:ascii="Times New Roman" w:hAnsi="Times New Roman"/>
          <w:sz w:val="24"/>
          <w:szCs w:val="24"/>
        </w:rPr>
        <w:t xml:space="preserve"> to</w:t>
      </w:r>
      <w:r w:rsidR="00E00964">
        <w:rPr>
          <w:rFonts w:ascii="Times New Roman" w:hAnsi="Times New Roman"/>
          <w:sz w:val="24"/>
          <w:szCs w:val="24"/>
        </w:rPr>
        <w:t>, or even exceeding, conventional</w:t>
      </w:r>
      <w:r w:rsidR="00384B83">
        <w:rPr>
          <w:rFonts w:ascii="Times New Roman" w:hAnsi="Times New Roman"/>
          <w:sz w:val="24"/>
          <w:szCs w:val="24"/>
        </w:rPr>
        <w:t xml:space="preserve"> cigarette smoke</w:t>
      </w:r>
      <w:r w:rsidR="00C770A5">
        <w:rPr>
          <w:rFonts w:ascii="Times New Roman" w:hAnsi="Times New Roman"/>
          <w:sz w:val="24"/>
          <w:szCs w:val="24"/>
        </w:rPr>
        <w:t>;</w:t>
      </w:r>
      <w:r w:rsidR="00C14E34">
        <w:rPr>
          <w:rStyle w:val="EndnoteReference"/>
          <w:szCs w:val="24"/>
        </w:rPr>
        <w:endnoteReference w:id="46"/>
      </w:r>
    </w:p>
    <w:p w14:paraId="2C6FECA7" w14:textId="60F1F4C7" w:rsidR="0094021C" w:rsidRDefault="00FF2703" w:rsidP="00E720F2">
      <w:pPr>
        <w:pStyle w:val="MediumGrid1-Accent22"/>
        <w:numPr>
          <w:ilvl w:val="0"/>
          <w:numId w:val="13"/>
        </w:numPr>
        <w:spacing w:before="240" w:after="0"/>
        <w:rPr>
          <w:rFonts w:ascii="Times New Roman" w:hAnsi="Times New Roman"/>
          <w:sz w:val="24"/>
          <w:szCs w:val="24"/>
        </w:rPr>
      </w:pPr>
      <w:r>
        <w:rPr>
          <w:rFonts w:ascii="Times New Roman" w:hAnsi="Times New Roman"/>
          <w:sz w:val="24"/>
          <w:szCs w:val="24"/>
        </w:rPr>
        <w:t xml:space="preserve">Evidence </w:t>
      </w:r>
      <w:r w:rsidR="009C326D">
        <w:rPr>
          <w:rFonts w:ascii="Times New Roman" w:hAnsi="Times New Roman"/>
          <w:sz w:val="24"/>
          <w:szCs w:val="24"/>
        </w:rPr>
        <w:t>continues to build</w:t>
      </w:r>
      <w:r>
        <w:rPr>
          <w:rFonts w:ascii="Times New Roman" w:hAnsi="Times New Roman"/>
          <w:sz w:val="24"/>
          <w:szCs w:val="24"/>
        </w:rPr>
        <w:t xml:space="preserve"> that</w:t>
      </w:r>
      <w:r w:rsidR="0094021C">
        <w:rPr>
          <w:rFonts w:ascii="Times New Roman" w:hAnsi="Times New Roman"/>
          <w:sz w:val="24"/>
          <w:szCs w:val="24"/>
        </w:rPr>
        <w:t xml:space="preserve"> </w:t>
      </w:r>
      <w:r w:rsidR="0094021C" w:rsidRPr="00F61C79">
        <w:rPr>
          <w:rFonts w:ascii="Times New Roman" w:hAnsi="Times New Roman"/>
          <w:sz w:val="24"/>
          <w:szCs w:val="24"/>
        </w:rPr>
        <w:t>exposure</w:t>
      </w:r>
      <w:r w:rsidR="0094021C">
        <w:rPr>
          <w:rFonts w:ascii="Times New Roman" w:hAnsi="Times New Roman"/>
          <w:sz w:val="24"/>
          <w:szCs w:val="24"/>
        </w:rPr>
        <w:t xml:space="preserve"> </w:t>
      </w:r>
      <w:r w:rsidR="0094021C" w:rsidRPr="00F61C79">
        <w:rPr>
          <w:rFonts w:ascii="Times New Roman" w:hAnsi="Times New Roman"/>
          <w:sz w:val="24"/>
          <w:szCs w:val="24"/>
        </w:rPr>
        <w:t>to</w:t>
      </w:r>
      <w:r w:rsidR="0094021C">
        <w:rPr>
          <w:rFonts w:ascii="Times New Roman" w:hAnsi="Times New Roman"/>
          <w:sz w:val="24"/>
          <w:szCs w:val="24"/>
        </w:rPr>
        <w:t xml:space="preserve"> </w:t>
      </w:r>
      <w:r w:rsidR="0094021C" w:rsidRPr="00F61C79">
        <w:rPr>
          <w:rFonts w:ascii="Times New Roman" w:hAnsi="Times New Roman"/>
          <w:sz w:val="24"/>
          <w:szCs w:val="24"/>
        </w:rPr>
        <w:t>electronic</w:t>
      </w:r>
      <w:r w:rsidR="0094021C">
        <w:rPr>
          <w:rFonts w:ascii="Times New Roman" w:hAnsi="Times New Roman"/>
          <w:sz w:val="24"/>
          <w:szCs w:val="24"/>
        </w:rPr>
        <w:t xml:space="preserve"> </w:t>
      </w:r>
      <w:r w:rsidR="0094021C" w:rsidRPr="00F61C79">
        <w:rPr>
          <w:rFonts w:ascii="Times New Roman" w:hAnsi="Times New Roman"/>
          <w:sz w:val="24"/>
          <w:szCs w:val="24"/>
        </w:rPr>
        <w:t>smoking</w:t>
      </w:r>
      <w:r w:rsidR="0094021C">
        <w:rPr>
          <w:rFonts w:ascii="Times New Roman" w:hAnsi="Times New Roman"/>
          <w:sz w:val="24"/>
          <w:szCs w:val="24"/>
        </w:rPr>
        <w:t xml:space="preserve"> device aerosol</w:t>
      </w:r>
      <w:r w:rsidR="005C38F8">
        <w:rPr>
          <w:rFonts w:ascii="Times New Roman" w:hAnsi="Times New Roman"/>
          <w:sz w:val="24"/>
          <w:szCs w:val="24"/>
        </w:rPr>
        <w:t>, including secondhand exposure,</w:t>
      </w:r>
      <w:r w:rsidR="0094021C">
        <w:rPr>
          <w:rFonts w:ascii="Times New Roman" w:hAnsi="Times New Roman"/>
          <w:sz w:val="24"/>
          <w:szCs w:val="24"/>
        </w:rPr>
        <w:t xml:space="preserve"> </w:t>
      </w:r>
      <w:r w:rsidR="0004676A">
        <w:rPr>
          <w:rFonts w:ascii="Times New Roman" w:hAnsi="Times New Roman"/>
          <w:sz w:val="24"/>
          <w:szCs w:val="24"/>
        </w:rPr>
        <w:t>has immediate impacts on the</w:t>
      </w:r>
      <w:r>
        <w:rPr>
          <w:rFonts w:ascii="Times New Roman" w:hAnsi="Times New Roman"/>
          <w:sz w:val="24"/>
          <w:szCs w:val="24"/>
        </w:rPr>
        <w:t xml:space="preserve"> human respiratory and cardiovascular systems, and thus</w:t>
      </w:r>
      <w:r w:rsidR="0004676A">
        <w:rPr>
          <w:rFonts w:ascii="Times New Roman" w:hAnsi="Times New Roman"/>
          <w:sz w:val="24"/>
          <w:szCs w:val="24"/>
        </w:rPr>
        <w:t xml:space="preserve"> likely</w:t>
      </w:r>
      <w:r w:rsidR="0094021C">
        <w:rPr>
          <w:rFonts w:ascii="Times New Roman" w:hAnsi="Times New Roman"/>
          <w:sz w:val="24"/>
          <w:szCs w:val="24"/>
        </w:rPr>
        <w:t xml:space="preserve"> pose</w:t>
      </w:r>
      <w:r w:rsidR="0004676A">
        <w:rPr>
          <w:rFonts w:ascii="Times New Roman" w:hAnsi="Times New Roman"/>
          <w:sz w:val="24"/>
          <w:szCs w:val="24"/>
        </w:rPr>
        <w:t>s</w:t>
      </w:r>
      <w:r w:rsidR="0094021C">
        <w:rPr>
          <w:rFonts w:ascii="Times New Roman" w:hAnsi="Times New Roman"/>
          <w:sz w:val="24"/>
          <w:szCs w:val="24"/>
        </w:rPr>
        <w:t xml:space="preserve"> a </w:t>
      </w:r>
      <w:r w:rsidR="009C326D">
        <w:rPr>
          <w:rFonts w:ascii="Times New Roman" w:hAnsi="Times New Roman"/>
          <w:sz w:val="24"/>
          <w:szCs w:val="24"/>
        </w:rPr>
        <w:t>risk to human health</w:t>
      </w:r>
      <w:r w:rsidR="0094021C" w:rsidRPr="00F61C79">
        <w:rPr>
          <w:rFonts w:ascii="Times New Roman" w:hAnsi="Times New Roman"/>
          <w:sz w:val="24"/>
          <w:szCs w:val="24"/>
        </w:rPr>
        <w:t>;</w:t>
      </w:r>
      <w:r w:rsidR="00E720F2">
        <w:rPr>
          <w:rFonts w:ascii="Times New Roman" w:hAnsi="Times New Roman"/>
          <w:sz w:val="24"/>
          <w:szCs w:val="24"/>
        </w:rPr>
        <w:softHyphen/>
      </w:r>
      <w:r w:rsidR="00E720F2">
        <w:rPr>
          <w:rFonts w:ascii="Times New Roman" w:hAnsi="Times New Roman"/>
          <w:sz w:val="24"/>
          <w:szCs w:val="24"/>
        </w:rPr>
        <w:softHyphen/>
      </w:r>
      <w:r w:rsidR="00E720F2">
        <w:rPr>
          <w:rFonts w:ascii="Times New Roman" w:hAnsi="Times New Roman"/>
          <w:sz w:val="24"/>
          <w:szCs w:val="24"/>
        </w:rPr>
        <w:softHyphen/>
      </w:r>
      <w:r w:rsidR="00FD38B1">
        <w:rPr>
          <w:rStyle w:val="EndnoteReference"/>
          <w:szCs w:val="24"/>
        </w:rPr>
        <w:endnoteReference w:id="47"/>
      </w:r>
      <w:r w:rsidR="00DD67FD" w:rsidRPr="001734B9">
        <w:rPr>
          <w:rFonts w:ascii="Times New Roman" w:hAnsi="Times New Roman"/>
          <w:position w:val="-4"/>
          <w:sz w:val="24"/>
          <w:szCs w:val="24"/>
          <w:vertAlign w:val="superscript"/>
        </w:rPr>
        <w:t>,</w:t>
      </w:r>
      <w:r w:rsidR="00FD38B1" w:rsidRPr="00427231">
        <w:rPr>
          <w:rStyle w:val="EndnoteReference"/>
          <w:szCs w:val="24"/>
        </w:rPr>
        <w:endnoteReference w:id="48"/>
      </w:r>
      <w:r w:rsidR="00683870" w:rsidRPr="001734B9">
        <w:rPr>
          <w:rFonts w:ascii="Times New Roman" w:hAnsi="Times New Roman"/>
          <w:position w:val="-4"/>
          <w:sz w:val="24"/>
          <w:szCs w:val="24"/>
          <w:vertAlign w:val="superscript"/>
        </w:rPr>
        <w:t>,</w:t>
      </w:r>
      <w:r w:rsidR="00FD38B1" w:rsidRPr="00427231">
        <w:rPr>
          <w:rStyle w:val="EndnoteReference"/>
          <w:szCs w:val="24"/>
        </w:rPr>
        <w:endnoteReference w:id="49"/>
      </w:r>
      <w:r w:rsidR="00683870" w:rsidRPr="001734B9">
        <w:rPr>
          <w:rFonts w:ascii="Times New Roman" w:hAnsi="Times New Roman"/>
          <w:position w:val="-4"/>
          <w:sz w:val="24"/>
          <w:szCs w:val="24"/>
          <w:vertAlign w:val="superscript"/>
        </w:rPr>
        <w:t>,</w:t>
      </w:r>
      <w:r w:rsidR="00FD38B1" w:rsidRPr="00427231">
        <w:rPr>
          <w:rStyle w:val="EndnoteReference"/>
          <w:szCs w:val="24"/>
        </w:rPr>
        <w:endnoteReference w:id="50"/>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1"/>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2"/>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3"/>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4"/>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5"/>
      </w:r>
      <w:r w:rsidR="00683870" w:rsidRPr="00772557">
        <w:rPr>
          <w:rFonts w:ascii="Times New Roman" w:hAnsi="Times New Roman"/>
          <w:position w:val="-4"/>
          <w:sz w:val="24"/>
          <w:szCs w:val="24"/>
          <w:vertAlign w:val="superscript"/>
        </w:rPr>
        <w:t>,</w:t>
      </w:r>
      <w:r w:rsidR="00FD38B1">
        <w:rPr>
          <w:rStyle w:val="EndnoteReference"/>
          <w:szCs w:val="24"/>
        </w:rPr>
        <w:endnoteReference w:id="56"/>
      </w:r>
      <w:r w:rsidR="00683870" w:rsidRPr="00F61C79">
        <w:rPr>
          <w:rFonts w:ascii="Times New Roman" w:hAnsi="Times New Roman"/>
          <w:sz w:val="24"/>
          <w:szCs w:val="24"/>
        </w:rPr>
        <w:fldChar w:fldCharType="begin" w:fldLock="1"/>
      </w:r>
      <w:r w:rsidR="0094021C">
        <w:rPr>
          <w:rFonts w:ascii="Times New Roman" w:hAnsi="Times New Roman"/>
          <w:sz w:val="24"/>
          <w:szCs w:val="24"/>
        </w:rPr>
        <w:instrText>ADDIN CSL_CITATION { "citationItems" : [ { "id" : "ITEM-1", "itemData" : { "author" : [ { "dropping-particle" : "", "family" : "German Cancer Research Center", "given" : "", "non-dropping-particle" : "", "parse-names" : false, "suffix" : "" } ], "id" : "ITEM-1", "issued" : { "date-parts" : [ [ "2013" ] ] }, "publisher-place" : "Heidelberg", "title" : "\"Electronic Cigarettes - An Overview\" Red Series Tobacco Prevention and Control.", "type" : "report", "volume" : "19" }, "uris" : [ "http://www.mendeley.com/documents/?uuid=759f6f5e-dec6-4135-a03d-030da4dbb03f" ] }, { "id" : "ITEM-2", "itemData" : { "DOI" : "10.1016/j.ijheh.2013.11.003", "ISSN" : "1618-131X", "PMID" : "24373737", "abstract" : "Despite the recent popularity of e-cigarettes, to date only limited data is available on their safety for both users and secondhand smokers. The present study reports a comprehensive inner and outer exposure assessment of e-cigarette emissions in terms of particulate matter (PM), particle number concentrations (PNC), volatile organic compounds (VOC), polycyclic aromatic hydrocarbons (PAH), carbonyls, and metals. In six vaping sessions nine volunteers consumed e-cigarettes with and without nicotine in a thoroughly ventilated room for two hours. We analyzed the levels of e-cigarette pollutants in indoor air and monitored effects on FeNO release and urinary metabolite profile of the subjects. For comparison, the components of the e-cigarette solutions (liquids) were additionally analyzed. During the vaping sessions substantial amounts of 1,2-propanediol, glycerine and nicotine were found in the gas-phase, as well as high concentrations of PM2.5 (mean 197\u03bcg/m(3)). The concentration of putative carcinogenic PAH in indoor air increased by 20% to 147ng/m(3), and aluminum showed a 2.4-fold increase. PNC ranged from 48,620 to 88,386 particles/cm(3) (median), with peaks at diameters 24-36nm. FeNO increased in 7 of 9 individuals. The nicotine content of the liquids varied and was 1.2-fold higher than claimed by the manufacturer. Our data confirm that e-cigarettes are not emission-free and their pollutants could be of health concern for users and secondhand smokers. In particular, ultrafine particles formed from supersaturated 1,2-propanediol vapor can be deposited in the lung, and aerosolized nicotine seems capable of increasing the release of the inflammatory signaling molecule NO upon inhalation. In view of consumer safety, e-cigarettes and nicotine liquids should be officially regulated and labeled with appropriate warnings of potential health effects, particularly of toxicity risk in children.", "author" : [ { "dropping-particle" : "", "family" : "Schober", "given" : "Wolfgang", "non-dropping-particle" : "", "parse-names" : false, "suffix" : "" }, { "dropping-particle" : "", "family" : "Szendrei", "given" : "Katalin", "non-dropping-particle" : "", "parse-names" : false, "suffix" : "" }, { "dropping-particle" : "", "family" : "Matzen", "given" : "Wolfgang", "non-dropping-particle" : "", "parse-names" : false, "suffix" : "" }, { "dropping-particle" : "", "family" : "Osiander-Fuchs", "given" : "Helga", "non-dropping-particle" : "", "parse-names" : false, "suffix" : "" }, { "dropping-particle" : "", "family" : "Heitmann", "given" : "Dieter", "non-dropping-particle" : "", "parse-names" : false, "suffix" : "" }, { "dropping-particle" : "", "family" : "Schettgen", "given" : "Thomas", "non-dropping-particle" : "", "parse-names" : false, "suffix" : "" }, { "dropping-particle" : "", "family" : "J\u00f6rres", "given" : "Rudolf a", "non-dropping-particle" : "", "parse-names" : false, "suffix" : "" }, { "dropping-particle" : "", "family" : "Fromme", "given" : "Hermann", "non-dropping-particle" : "", "parse-names" : false, "suffix" : "" } ], "container-title" : "International journal of hygiene and environmental health", "id" : "ITEM-2", "issued" : { "date-parts" : [ [ "2013", "12", "6" ] ] }, "publisher" : "Elsevier GmbH.", "title" : "Use of electronic cigarettes (e-cigarettes) impairs indoor air quality and increases FeNO levels of e-cigarette consumers.", "type" : "article-journal" }, "uris" : [ "http://www.mendeley.com/documents/?uuid=fcbcb3f2-6c31-4cf3-9e7c-a58fa9c575c5" ] }, { "id" : "ITEM-3", "itemData" : { "DOI" : "10.1111/j.1600-0668.2012.00792.x", "ISSN" : "1600-0668", "PMID" : "22672560", "abstract" : "Electronic cigarette consumption ('vaping') is marketed as an alternative to conventional tobacco smoking. Technically, a mixture of chemicals containing carrier liquids, flavors, and optionally nicotine is vaporized and inhaled. The present study aims at the determination of the release of volatile organic compounds (VOC) and (ultra)fine particles (FP/UFP) from an e-cigarette under near-to-real-use conditions in an 8-m(3) emission test chamber. Furthermore, the inhaled mixture is analyzed in small chambers. An increase in FP/UFP and VOC could be determined after the use of the e-cigarette. Prominent components in the gas-phase are 1,2-propanediol, 1,2,3-propanetriol, diacetin, flavorings, and traces of nicotine. As a consequence, 'passive vaping' must be expected from the consumption of e-cigarettes. Furthermore, the inhaled aerosol undergoes changes in the human lung that is assumed to be attributed to deposition and evaporation.", "author" : [ { "dropping-particle" : "", "family" : "Schripp", "given" : "T", "non-dropping-particle" : "", "parse-names" : false, "suffix" : "" }, { "dropping-particle" : "", "family" : "Markewitz", "given" : "D", "non-dropping-particle" : "", "parse-names" : false, "suffix" : "" }, { "dropping-particle" : "", "family" : "Uhde", "given" : "E", "non-dropping-particle" : "", "parse-names" : false, "suffix" : "" }, { "dropping-particle" : "", "family" : "Salthammer", "given" : "T", "non-dropping-particle" : "", "parse-names" : false, "suffix" : "" } ], "container-title" : "Indoor air", "id" : "ITEM-3", "issue" : "1", "issued" : { "date-parts" : [ [ "2013", "2" ] ] }, "page" : "25-31", "title" : "Does e-cigarette consumption cause passive vaping?", "type" : "article-journal", "volume" : "23" }, "uris" : [ "http://www.mendeley.com/documents/?uuid=92ff178a-5014-47d8-9373-d8db895e0750" ] } ], "mendeley" : { "formattedCitation" : "&lt;sup&gt;15,17,18&lt;/sup&gt;", "plainTextFormattedCitation" : "15,17,18", "previouslyFormattedCitation" : "&lt;sup&gt;14,16,17&lt;/sup&gt;" }, "properties" : { "noteIndex" : 0 }, "schema" : "https://github.com/citation-style-language/schema/raw/master/csl-citation.json" }</w:instrText>
      </w:r>
      <w:r w:rsidR="00683870" w:rsidRPr="00F61C79">
        <w:rPr>
          <w:rFonts w:ascii="Times New Roman" w:hAnsi="Times New Roman"/>
          <w:sz w:val="24"/>
          <w:szCs w:val="24"/>
        </w:rPr>
        <w:fldChar w:fldCharType="end"/>
      </w:r>
    </w:p>
    <w:p w14:paraId="5CD67F6F" w14:textId="022A36CC" w:rsidR="00B32D6C" w:rsidRDefault="00B32D6C" w:rsidP="001B2CB9">
      <w:pPr>
        <w:pStyle w:val="MediumGrid1-Accent22"/>
        <w:numPr>
          <w:ilvl w:val="0"/>
          <w:numId w:val="13"/>
        </w:numPr>
        <w:spacing w:after="0"/>
        <w:rPr>
          <w:rFonts w:ascii="Times New Roman" w:hAnsi="Times New Roman"/>
          <w:sz w:val="24"/>
          <w:szCs w:val="24"/>
        </w:rPr>
      </w:pPr>
      <w:r>
        <w:rPr>
          <w:rFonts w:ascii="Times New Roman" w:hAnsi="Times New Roman"/>
          <w:sz w:val="24"/>
          <w:szCs w:val="24"/>
        </w:rPr>
        <w:t>Given the increasing prevalence of electronic smoking device use, especially among youth and young adults, widespread</w:t>
      </w:r>
      <w:r w:rsidR="00124AB7">
        <w:rPr>
          <w:rFonts w:ascii="Times New Roman" w:hAnsi="Times New Roman"/>
          <w:sz w:val="24"/>
          <w:szCs w:val="24"/>
        </w:rPr>
        <w:t xml:space="preserve"> nicotine exposure</w:t>
      </w:r>
      <w:r>
        <w:rPr>
          <w:rFonts w:ascii="Times New Roman" w:hAnsi="Times New Roman"/>
          <w:sz w:val="24"/>
          <w:szCs w:val="24"/>
        </w:rPr>
        <w:t xml:space="preserve"> resulting</w:t>
      </w:r>
      <w:r w:rsidR="00124AB7">
        <w:rPr>
          <w:rFonts w:ascii="Times New Roman" w:hAnsi="Times New Roman"/>
          <w:sz w:val="24"/>
          <w:szCs w:val="24"/>
        </w:rPr>
        <w:t xml:space="preserve"> in addiction and other harmful consequences is a serious concern;</w:t>
      </w:r>
      <w:r w:rsidR="00FD38B1">
        <w:rPr>
          <w:rStyle w:val="EndnoteReference"/>
          <w:szCs w:val="24"/>
        </w:rPr>
        <w:endnoteReference w:id="57"/>
      </w:r>
      <w:r>
        <w:rPr>
          <w:rFonts w:ascii="Times New Roman" w:hAnsi="Times New Roman"/>
          <w:sz w:val="24"/>
          <w:szCs w:val="24"/>
        </w:rPr>
        <w:t xml:space="preserve"> </w:t>
      </w:r>
      <w:r w:rsidR="00737EEF">
        <w:rPr>
          <w:rFonts w:ascii="Times New Roman" w:hAnsi="Times New Roman"/>
          <w:sz w:val="24"/>
          <w:szCs w:val="24"/>
        </w:rPr>
        <w:t>and</w:t>
      </w:r>
    </w:p>
    <w:p w14:paraId="5826EB5E" w14:textId="664A77E6" w:rsidR="001B2CB9" w:rsidRDefault="002D3BAB" w:rsidP="001B2CB9">
      <w:pPr>
        <w:pStyle w:val="MediumGrid1-Accent22"/>
        <w:numPr>
          <w:ilvl w:val="0"/>
          <w:numId w:val="13"/>
        </w:numPr>
        <w:spacing w:after="0"/>
        <w:rPr>
          <w:rFonts w:ascii="Times New Roman" w:hAnsi="Times New Roman"/>
          <w:sz w:val="24"/>
          <w:szCs w:val="24"/>
        </w:rPr>
      </w:pPr>
      <w:r>
        <w:rPr>
          <w:rFonts w:ascii="Times New Roman" w:hAnsi="Times New Roman"/>
          <w:sz w:val="24"/>
          <w:szCs w:val="24"/>
        </w:rPr>
        <w:t>A number of health authorities, including t</w:t>
      </w:r>
      <w:r w:rsidR="001B2CB9" w:rsidRPr="00F61C79">
        <w:rPr>
          <w:rFonts w:ascii="Times New Roman" w:hAnsi="Times New Roman"/>
          <w:sz w:val="24"/>
          <w:szCs w:val="24"/>
        </w:rPr>
        <w:t>he</w:t>
      </w:r>
      <w:r w:rsidR="001B2CB9">
        <w:rPr>
          <w:rFonts w:ascii="Times New Roman" w:hAnsi="Times New Roman"/>
          <w:sz w:val="24"/>
          <w:szCs w:val="24"/>
        </w:rPr>
        <w:t xml:space="preserve"> </w:t>
      </w:r>
      <w:r w:rsidR="009C326D">
        <w:rPr>
          <w:rFonts w:ascii="Times New Roman" w:hAnsi="Times New Roman"/>
          <w:sz w:val="24"/>
          <w:szCs w:val="24"/>
        </w:rPr>
        <w:t xml:space="preserve">U.S. </w:t>
      </w:r>
      <w:r w:rsidR="00427231">
        <w:rPr>
          <w:rFonts w:ascii="Times New Roman" w:hAnsi="Times New Roman"/>
          <w:sz w:val="24"/>
          <w:szCs w:val="24"/>
        </w:rPr>
        <w:t>s</w:t>
      </w:r>
      <w:r w:rsidR="009C326D" w:rsidRPr="00E00A2C">
        <w:rPr>
          <w:rFonts w:ascii="Times New Roman" w:hAnsi="Times New Roman"/>
          <w:sz w:val="24"/>
          <w:szCs w:val="24"/>
        </w:rPr>
        <w:t xml:space="preserve">urgeon </w:t>
      </w:r>
      <w:r w:rsidR="00427231">
        <w:rPr>
          <w:rFonts w:ascii="Times New Roman" w:hAnsi="Times New Roman"/>
          <w:sz w:val="24"/>
          <w:szCs w:val="24"/>
        </w:rPr>
        <w:t>g</w:t>
      </w:r>
      <w:r w:rsidR="009C326D" w:rsidRPr="00E00A2C">
        <w:rPr>
          <w:rFonts w:ascii="Times New Roman" w:hAnsi="Times New Roman"/>
          <w:sz w:val="24"/>
          <w:szCs w:val="24"/>
        </w:rPr>
        <w:t xml:space="preserve">eneral, </w:t>
      </w:r>
      <w:r w:rsidR="009C326D" w:rsidRPr="00E00A2C">
        <w:rPr>
          <w:rFonts w:ascii="Times New Roman" w:hAnsi="Times New Roman"/>
          <w:sz w:val="24"/>
        </w:rPr>
        <w:t>ASHRAE</w:t>
      </w:r>
      <w:r w:rsidR="009C326D" w:rsidRPr="00E00A2C">
        <w:rPr>
          <w:rFonts w:ascii="Times New Roman" w:hAnsi="Times New Roman"/>
          <w:sz w:val="24"/>
          <w:szCs w:val="24"/>
        </w:rPr>
        <w:t xml:space="preserve">, and </w:t>
      </w:r>
      <w:r w:rsidR="001B2CB9" w:rsidRPr="00E00A2C">
        <w:rPr>
          <w:rFonts w:ascii="Times New Roman" w:hAnsi="Times New Roman"/>
          <w:sz w:val="24"/>
          <w:szCs w:val="24"/>
        </w:rPr>
        <w:t>State of California’s Tobacco Education and Research Oversight Committee (TEROC)</w:t>
      </w:r>
      <w:r w:rsidR="009C326D" w:rsidRPr="00E00A2C">
        <w:rPr>
          <w:rFonts w:ascii="Times New Roman" w:hAnsi="Times New Roman"/>
          <w:sz w:val="24"/>
          <w:szCs w:val="24"/>
        </w:rPr>
        <w:t xml:space="preserve"> </w:t>
      </w:r>
      <w:r w:rsidR="009C326D" w:rsidRPr="00E00A2C">
        <w:rPr>
          <w:rFonts w:ascii="Times New Roman" w:hAnsi="Times New Roman"/>
          <w:sz w:val="24"/>
        </w:rPr>
        <w:t xml:space="preserve">all </w:t>
      </w:r>
      <w:r w:rsidR="001B2CB9" w:rsidRPr="00E00A2C">
        <w:rPr>
          <w:rFonts w:ascii="Times New Roman" w:hAnsi="Times New Roman"/>
          <w:sz w:val="24"/>
          <w:szCs w:val="24"/>
        </w:rPr>
        <w:t>support</w:t>
      </w:r>
      <w:r w:rsidR="001B2CB9" w:rsidRPr="002E56B6">
        <w:rPr>
          <w:rFonts w:ascii="Times New Roman" w:hAnsi="Times New Roman"/>
          <w:sz w:val="24"/>
          <w:szCs w:val="24"/>
        </w:rPr>
        <w:t xml:space="preserve"> inclusion of electronic smoking devices in </w:t>
      </w:r>
      <w:r w:rsidR="009C326D">
        <w:rPr>
          <w:rFonts w:ascii="Times New Roman" w:hAnsi="Times New Roman"/>
          <w:sz w:val="24"/>
          <w:szCs w:val="24"/>
        </w:rPr>
        <w:t>regulations</w:t>
      </w:r>
      <w:r w:rsidR="001B2CB9" w:rsidRPr="002E56B6">
        <w:rPr>
          <w:rFonts w:ascii="Times New Roman" w:hAnsi="Times New Roman"/>
          <w:sz w:val="24"/>
          <w:szCs w:val="24"/>
        </w:rPr>
        <w:t xml:space="preserve"> of </w:t>
      </w:r>
      <w:r w:rsidR="009C326D">
        <w:rPr>
          <w:rFonts w:ascii="Times New Roman" w:hAnsi="Times New Roman"/>
          <w:sz w:val="24"/>
          <w:szCs w:val="24"/>
        </w:rPr>
        <w:t>smoking and other tobacco product use</w:t>
      </w:r>
      <w:r w:rsidR="00737EEF">
        <w:rPr>
          <w:rFonts w:ascii="Times New Roman" w:hAnsi="Times New Roman"/>
          <w:sz w:val="24"/>
          <w:szCs w:val="24"/>
        </w:rPr>
        <w:t>.</w:t>
      </w:r>
      <w:r w:rsidR="00FD38B1">
        <w:rPr>
          <w:rStyle w:val="EndnoteReference"/>
          <w:szCs w:val="24"/>
        </w:rPr>
        <w:endnoteReference w:id="58"/>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9"/>
      </w:r>
      <w:r w:rsidR="00683870" w:rsidRPr="00772557">
        <w:rPr>
          <w:rFonts w:ascii="Times New Roman" w:hAnsi="Times New Roman"/>
          <w:position w:val="-4"/>
          <w:sz w:val="24"/>
          <w:szCs w:val="24"/>
          <w:vertAlign w:val="superscript"/>
        </w:rPr>
        <w:t>,</w:t>
      </w:r>
      <w:r w:rsidR="00FD38B1">
        <w:rPr>
          <w:rStyle w:val="EndnoteReference"/>
          <w:szCs w:val="24"/>
        </w:rPr>
        <w:endnoteReference w:id="60"/>
      </w:r>
      <w:r w:rsidR="001B2CB9">
        <w:rPr>
          <w:rFonts w:ascii="Times New Roman" w:hAnsi="Times New Roman"/>
          <w:sz w:val="24"/>
          <w:szCs w:val="24"/>
        </w:rPr>
        <w:t xml:space="preserve"> </w:t>
      </w:r>
    </w:p>
    <w:p w14:paraId="39FBF7A9" w14:textId="77777777" w:rsidR="001B2CB9" w:rsidRPr="00390BB7" w:rsidRDefault="001B2CB9" w:rsidP="001A7EB0">
      <w:pPr>
        <w:pStyle w:val="MediumGrid1-Accent22"/>
        <w:spacing w:after="0"/>
        <w:ind w:left="760"/>
        <w:rPr>
          <w:rFonts w:ascii="Times New Roman" w:eastAsia="Times New Roman" w:hAnsi="Times New Roman" w:cs="Times-Roman"/>
          <w:color w:val="000000"/>
          <w:sz w:val="24"/>
          <w:szCs w:val="24"/>
          <w:lang w:bidi="en-US"/>
        </w:rPr>
      </w:pPr>
    </w:p>
    <w:p w14:paraId="1258E9A9" w14:textId="77777777" w:rsidR="001B2CB9" w:rsidRDefault="001B2CB9" w:rsidP="001A7EB0">
      <w:pPr>
        <w:pStyle w:val="MediumGrid1-Accent22"/>
        <w:spacing w:after="60" w:line="240" w:lineRule="auto"/>
        <w:ind w:left="0"/>
        <w:rPr>
          <w:rFonts w:ascii="Times New Roman" w:hAnsi="Times New Roman"/>
          <w:sz w:val="24"/>
          <w:szCs w:val="24"/>
        </w:rPr>
      </w:pPr>
      <w:r w:rsidRPr="00AF43ED">
        <w:rPr>
          <w:rFonts w:ascii="Times New Roman" w:hAnsi="Times New Roman"/>
          <w:sz w:val="24"/>
          <w:szCs w:val="24"/>
        </w:rPr>
        <w:t>WHEREAS</w:t>
      </w:r>
      <w:r w:rsidRPr="00ED4374">
        <w:rPr>
          <w:rFonts w:ascii="Times New Roman" w:hAnsi="Times New Roman"/>
          <w:sz w:val="24"/>
          <w:szCs w:val="24"/>
        </w:rPr>
        <w:t>,</w:t>
      </w:r>
      <w:r w:rsidRPr="00943B9C">
        <w:rPr>
          <w:rFonts w:ascii="Times New Roman" w:hAnsi="Times New Roman"/>
          <w:sz w:val="24"/>
          <w:szCs w:val="24"/>
        </w:rPr>
        <w:t xml:space="preserve"> secondhand cannabis </w:t>
      </w:r>
      <w:r>
        <w:rPr>
          <w:rFonts w:ascii="Times New Roman" w:hAnsi="Times New Roman"/>
          <w:sz w:val="24"/>
          <w:szCs w:val="24"/>
        </w:rPr>
        <w:t xml:space="preserve">smoke has </w:t>
      </w:r>
      <w:r w:rsidRPr="00943B9C">
        <w:rPr>
          <w:rFonts w:ascii="Times New Roman" w:hAnsi="Times New Roman"/>
          <w:sz w:val="24"/>
          <w:szCs w:val="24"/>
        </w:rPr>
        <w:t>been identified as a health hazard, as evidenced by the following:</w:t>
      </w:r>
    </w:p>
    <w:p w14:paraId="19EC7501" w14:textId="77777777" w:rsidR="00390BB7" w:rsidRPr="00943B9C" w:rsidRDefault="00390BB7" w:rsidP="001A7EB0">
      <w:pPr>
        <w:pStyle w:val="MediumGrid1-Accent22"/>
        <w:spacing w:after="60" w:line="240" w:lineRule="auto"/>
        <w:ind w:left="0"/>
        <w:rPr>
          <w:rFonts w:ascii="Times New Roman" w:hAnsi="Times New Roman"/>
          <w:sz w:val="24"/>
          <w:szCs w:val="24"/>
        </w:rPr>
      </w:pPr>
    </w:p>
    <w:p w14:paraId="7808B502" w14:textId="77777777" w:rsidR="001B2CB9" w:rsidRPr="009022BC" w:rsidRDefault="001B2CB9" w:rsidP="001B2CB9">
      <w:pPr>
        <w:pStyle w:val="bullets"/>
        <w:numPr>
          <w:ilvl w:val="0"/>
          <w:numId w:val="24"/>
        </w:numPr>
        <w:textAlignment w:val="auto"/>
        <w:rPr>
          <w:rFonts w:cs="Times New Roman"/>
        </w:rPr>
      </w:pPr>
      <w:r w:rsidRPr="009022BC">
        <w:rPr>
          <w:rFonts w:cs="Times New Roman"/>
        </w:rPr>
        <w:t xml:space="preserve">The California EPA included cannabis smoke on the Proposition 65 list of chemicals </w:t>
      </w:r>
      <w:r w:rsidRPr="009022BC">
        <w:rPr>
          <w:rFonts w:cs="Times New Roman"/>
        </w:rPr>
        <w:lastRenderedPageBreak/>
        <w:t>known to the state of California to cause cancer;</w:t>
      </w:r>
      <w:r w:rsidR="00F56E8E">
        <w:rPr>
          <w:rStyle w:val="EndnoteReference"/>
          <w:rFonts w:cs="Times New Roman"/>
        </w:rPr>
        <w:endnoteReference w:id="61"/>
      </w:r>
      <w:r w:rsidR="00683870" w:rsidRPr="00E228F4">
        <w:rPr>
          <w:rFonts w:cs="Times New Roman"/>
          <w:position w:val="-4"/>
          <w:vertAlign w:val="superscript"/>
        </w:rPr>
        <w:t>,</w:t>
      </w:r>
      <w:r w:rsidR="00F56E8E">
        <w:rPr>
          <w:rStyle w:val="EndnoteReference"/>
          <w:rFonts w:cs="Times New Roman"/>
        </w:rPr>
        <w:endnoteReference w:id="62"/>
      </w:r>
    </w:p>
    <w:p w14:paraId="01150BE9" w14:textId="77777777" w:rsidR="001B2CB9" w:rsidRPr="009022BC" w:rsidRDefault="001B2CB9" w:rsidP="001B2CB9">
      <w:pPr>
        <w:pStyle w:val="bullets"/>
        <w:numPr>
          <w:ilvl w:val="0"/>
          <w:numId w:val="24"/>
        </w:numPr>
        <w:textAlignment w:val="auto"/>
        <w:rPr>
          <w:rFonts w:cs="Times New Roman"/>
        </w:rPr>
      </w:pPr>
      <w:r w:rsidRPr="009022BC">
        <w:rPr>
          <w:rFonts w:cs="Times New Roman"/>
        </w:rPr>
        <w:t>Cannabis smoke contains at least 33 known carcinogens;</w:t>
      </w:r>
      <w:r w:rsidR="00F56E8E">
        <w:rPr>
          <w:rStyle w:val="EndnoteReference"/>
          <w:rFonts w:cs="Times New Roman"/>
        </w:rPr>
        <w:endnoteReference w:id="63"/>
      </w:r>
    </w:p>
    <w:p w14:paraId="1F7698A0" w14:textId="77777777" w:rsidR="001B2CB9" w:rsidRDefault="005525BB" w:rsidP="001B2CB9">
      <w:pPr>
        <w:pStyle w:val="bullets"/>
        <w:numPr>
          <w:ilvl w:val="0"/>
          <w:numId w:val="24"/>
        </w:numPr>
        <w:textAlignment w:val="auto"/>
        <w:rPr>
          <w:rFonts w:cs="Times New Roman"/>
        </w:rPr>
      </w:pPr>
      <w:r>
        <w:rPr>
          <w:rFonts w:cs="Times New Roman"/>
        </w:rPr>
        <w:t>In one study, e</w:t>
      </w:r>
      <w:r w:rsidR="001B2CB9" w:rsidRPr="009022BC">
        <w:rPr>
          <w:rFonts w:cs="Times New Roman"/>
        </w:rPr>
        <w:t xml:space="preserve">xposure to cannabis smoke in an unventilated setting resulted in detectible levels of cannabinoids in </w:t>
      </w:r>
      <w:r>
        <w:rPr>
          <w:rFonts w:cs="Times New Roman"/>
        </w:rPr>
        <w:t xml:space="preserve">non-smoker </w:t>
      </w:r>
      <w:r w:rsidR="001B2CB9" w:rsidRPr="009022BC">
        <w:rPr>
          <w:rFonts w:cs="Times New Roman"/>
        </w:rPr>
        <w:t>participants</w:t>
      </w:r>
      <w:r w:rsidR="001B2CB9">
        <w:rPr>
          <w:rFonts w:cs="Times New Roman"/>
        </w:rPr>
        <w:t>’</w:t>
      </w:r>
      <w:r w:rsidR="001B2CB9" w:rsidRPr="009022BC">
        <w:rPr>
          <w:rFonts w:cs="Times New Roman"/>
        </w:rPr>
        <w:t xml:space="preserve"> blood and urine, and participants experienced minor increases in heart rate and impaired cognitive performance;</w:t>
      </w:r>
      <w:r w:rsidR="00F56E8E">
        <w:rPr>
          <w:rStyle w:val="EndnoteReference"/>
          <w:rFonts w:cs="Times New Roman"/>
        </w:rPr>
        <w:endnoteReference w:id="64"/>
      </w:r>
      <w:r w:rsidR="00263F18">
        <w:rPr>
          <w:rFonts w:cs="Times New Roman"/>
        </w:rPr>
        <w:t xml:space="preserve"> and</w:t>
      </w:r>
    </w:p>
    <w:p w14:paraId="18960747" w14:textId="2CAD308A" w:rsidR="001B2CB9" w:rsidRPr="00A97240" w:rsidRDefault="00263F18" w:rsidP="001A7EB0">
      <w:pPr>
        <w:pStyle w:val="bullets"/>
        <w:numPr>
          <w:ilvl w:val="0"/>
          <w:numId w:val="24"/>
        </w:numPr>
        <w:textAlignment w:val="auto"/>
        <w:rPr>
          <w:rFonts w:cs="Times New Roman"/>
        </w:rPr>
      </w:pPr>
      <w:r w:rsidRPr="00B0290A">
        <w:rPr>
          <w:rFonts w:cs="Times New Roman"/>
        </w:rPr>
        <w:t xml:space="preserve">A recent systematic review of the literature concluded that secondhand exposure to cannabis smoke leads to cannabinoid metabolites in bodily fluids and individuals experiencing </w:t>
      </w:r>
      <w:r w:rsidR="00A97240" w:rsidRPr="00567579">
        <w:rPr>
          <w:rFonts w:cs="Times New Roman"/>
        </w:rPr>
        <w:t xml:space="preserve">self-reported </w:t>
      </w:r>
      <w:r w:rsidRPr="00B0290A">
        <w:rPr>
          <w:rFonts w:cs="Times New Roman"/>
        </w:rPr>
        <w:t>psychoactive effects</w:t>
      </w:r>
      <w:r w:rsidR="00A97240" w:rsidRPr="00B0290A">
        <w:rPr>
          <w:rFonts w:cs="Times New Roman"/>
        </w:rPr>
        <w:t>.</w:t>
      </w:r>
      <w:r w:rsidR="00F56E8E" w:rsidRPr="00A97240">
        <w:rPr>
          <w:rStyle w:val="EndnoteReference"/>
          <w:rFonts w:cs="Times New Roman"/>
        </w:rPr>
        <w:endnoteReference w:id="65"/>
      </w:r>
      <w:r w:rsidRPr="00A97240">
        <w:rPr>
          <w:rFonts w:cs="Times New Roman"/>
        </w:rPr>
        <w:t xml:space="preserve"> </w:t>
      </w:r>
    </w:p>
    <w:p w14:paraId="36481216" w14:textId="10692CEF" w:rsidR="006C2E88" w:rsidRPr="00D4779F" w:rsidRDefault="006C2E88" w:rsidP="00E57BED">
      <w:pPr>
        <w:pStyle w:val="EndnoteText"/>
        <w:rPr>
          <w:sz w:val="24"/>
        </w:rPr>
      </w:pPr>
      <w:r w:rsidRPr="004D3468">
        <w:rPr>
          <w:sz w:val="24"/>
        </w:rPr>
        <w:t>WHEREAS, laws restricting the use of tobacco products have recognizable benefits to public health and medical costs</w:t>
      </w:r>
      <w:r w:rsidR="005416D6">
        <w:rPr>
          <w:sz w:val="24"/>
        </w:rPr>
        <w:t>,</w:t>
      </w:r>
      <w:r w:rsidRPr="004D3468">
        <w:rPr>
          <w:sz w:val="24"/>
        </w:rPr>
        <w:t xml:space="preserve"> with a review of over 80 peer-reviewed research studies </w:t>
      </w:r>
      <w:r w:rsidR="00752832">
        <w:rPr>
          <w:rFonts w:cs="Times New Roman"/>
          <w:sz w:val="24"/>
        </w:rPr>
        <w:t>from 2000</w:t>
      </w:r>
      <w:r w:rsidR="008266A4">
        <w:rPr>
          <w:rFonts w:cs="Times New Roman"/>
          <w:sz w:val="24"/>
        </w:rPr>
        <w:t xml:space="preserve"> to </w:t>
      </w:r>
      <w:r w:rsidR="00752832">
        <w:rPr>
          <w:rFonts w:cs="Times New Roman"/>
          <w:sz w:val="24"/>
        </w:rPr>
        <w:t xml:space="preserve">2011 </w:t>
      </w:r>
      <w:r w:rsidR="005416D6" w:rsidRPr="005416D6">
        <w:rPr>
          <w:rFonts w:cs="Times New Roman"/>
          <w:sz w:val="24"/>
        </w:rPr>
        <w:t xml:space="preserve">(search period July 2009 – December 2011) </w:t>
      </w:r>
      <w:r w:rsidRPr="004D3468">
        <w:rPr>
          <w:sz w:val="24"/>
        </w:rPr>
        <w:t>showing that smokefree policies effectively do the following:</w:t>
      </w:r>
    </w:p>
    <w:p w14:paraId="05EA977C" w14:textId="5E4E48D8" w:rsidR="006C2E88" w:rsidRPr="004D3468" w:rsidRDefault="006C2E88" w:rsidP="006C2E88">
      <w:pPr>
        <w:pStyle w:val="EndnoteText"/>
        <w:numPr>
          <w:ilvl w:val="0"/>
          <w:numId w:val="7"/>
        </w:numPr>
        <w:rPr>
          <w:sz w:val="24"/>
        </w:rPr>
      </w:pPr>
      <w:r w:rsidRPr="001C7DC2">
        <w:rPr>
          <w:sz w:val="24"/>
        </w:rPr>
        <w:t xml:space="preserve">Reduce tobacco use: </w:t>
      </w:r>
      <w:r w:rsidR="00427231">
        <w:rPr>
          <w:sz w:val="24"/>
        </w:rPr>
        <w:t>T</w:t>
      </w:r>
      <w:r w:rsidRPr="001C7DC2">
        <w:rPr>
          <w:sz w:val="24"/>
        </w:rPr>
        <w:t>obacco use reduced by 2.7</w:t>
      </w:r>
      <w:r w:rsidR="00427231">
        <w:rPr>
          <w:rFonts w:cs="Times New Roman"/>
          <w:sz w:val="24"/>
        </w:rPr>
        <w:t xml:space="preserve"> </w:t>
      </w:r>
      <w:r w:rsidR="001867FD">
        <w:rPr>
          <w:rFonts w:cs="Times New Roman"/>
          <w:sz w:val="24"/>
        </w:rPr>
        <w:t xml:space="preserve">median </w:t>
      </w:r>
      <w:r w:rsidRPr="0077469D">
        <w:rPr>
          <w:rFonts w:cs="Times New Roman"/>
          <w:sz w:val="24"/>
        </w:rPr>
        <w:t>percent</w:t>
      </w:r>
      <w:r w:rsidR="00752832">
        <w:rPr>
          <w:rFonts w:cs="Times New Roman"/>
          <w:sz w:val="24"/>
        </w:rPr>
        <w:t>age points</w:t>
      </w:r>
      <w:r w:rsidRPr="004D3468">
        <w:rPr>
          <w:sz w:val="24"/>
        </w:rPr>
        <w:t>;</w:t>
      </w:r>
      <w:r w:rsidR="00F56E8E">
        <w:rPr>
          <w:rStyle w:val="EndnoteReference"/>
        </w:rPr>
        <w:endnoteReference w:id="66"/>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13C21A16" w14:textId="11A44F71" w:rsidR="006C2E88" w:rsidRPr="004D3468" w:rsidRDefault="006C2E88" w:rsidP="006C2E88">
      <w:pPr>
        <w:pStyle w:val="EndnoteText"/>
        <w:numPr>
          <w:ilvl w:val="0"/>
          <w:numId w:val="7"/>
        </w:numPr>
        <w:rPr>
          <w:sz w:val="24"/>
        </w:rPr>
      </w:pPr>
      <w:r w:rsidRPr="00D4779F">
        <w:rPr>
          <w:sz w:val="24"/>
        </w:rPr>
        <w:t>Reduce expo</w:t>
      </w:r>
      <w:r w:rsidRPr="001C7DC2">
        <w:rPr>
          <w:sz w:val="24"/>
        </w:rPr>
        <w:t xml:space="preserve">sure to secondhand smoke: </w:t>
      </w:r>
      <w:r w:rsidR="00427231">
        <w:rPr>
          <w:rFonts w:cs="Times New Roman"/>
          <w:sz w:val="24"/>
        </w:rPr>
        <w:t>I</w:t>
      </w:r>
      <w:r w:rsidR="00752832">
        <w:rPr>
          <w:rFonts w:cs="Times New Roman"/>
          <w:sz w:val="24"/>
        </w:rPr>
        <w:t xml:space="preserve">ndoor </w:t>
      </w:r>
      <w:r w:rsidRPr="004D3468">
        <w:rPr>
          <w:sz w:val="24"/>
        </w:rPr>
        <w:t xml:space="preserve">air pollution reduced by a median of 88 percent and biomarkers for secondhand smoke </w:t>
      </w:r>
      <w:r w:rsidRPr="001C7DC2">
        <w:rPr>
          <w:sz w:val="24"/>
        </w:rPr>
        <w:t>reduced by a median of 50</w:t>
      </w:r>
      <w:r w:rsidR="00427231">
        <w:rPr>
          <w:rFonts w:cs="Times New Roman"/>
          <w:sz w:val="24"/>
        </w:rPr>
        <w:t xml:space="preserve"> percent</w:t>
      </w:r>
      <w:r w:rsidRPr="004D3468">
        <w:rPr>
          <w:sz w:val="24"/>
        </w:rPr>
        <w:t>;</w:t>
      </w:r>
      <w:r w:rsidR="00F56E8E">
        <w:rPr>
          <w:rStyle w:val="EndnoteReference"/>
        </w:rPr>
        <w:endnoteReference w:id="67"/>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186F6DA6" w14:textId="7EDBF059" w:rsidR="006C2E88" w:rsidRPr="004D3468" w:rsidRDefault="006C2E88" w:rsidP="006C2E88">
      <w:pPr>
        <w:pStyle w:val="EndnoteText"/>
        <w:numPr>
          <w:ilvl w:val="0"/>
          <w:numId w:val="7"/>
        </w:numPr>
        <w:rPr>
          <w:sz w:val="24"/>
        </w:rPr>
      </w:pPr>
      <w:r w:rsidRPr="00D4779F">
        <w:rPr>
          <w:sz w:val="24"/>
        </w:rPr>
        <w:t>Increase the number of tobacco users who quit</w:t>
      </w:r>
      <w:r w:rsidR="001867FD">
        <w:rPr>
          <w:rFonts w:cs="Times New Roman"/>
          <w:sz w:val="24"/>
        </w:rPr>
        <w:t xml:space="preserve">: </w:t>
      </w:r>
      <w:r w:rsidR="00427231">
        <w:rPr>
          <w:rFonts w:cs="Times New Roman"/>
          <w:sz w:val="24"/>
        </w:rPr>
        <w:t>C</w:t>
      </w:r>
      <w:r w:rsidR="001867FD">
        <w:rPr>
          <w:rFonts w:cs="Times New Roman"/>
          <w:sz w:val="24"/>
        </w:rPr>
        <w:t>essation of tobacco use increased</w:t>
      </w:r>
      <w:r w:rsidRPr="0077469D">
        <w:rPr>
          <w:rFonts w:cs="Times New Roman"/>
          <w:sz w:val="24"/>
        </w:rPr>
        <w:t xml:space="preserve"> </w:t>
      </w:r>
      <w:r w:rsidR="001867FD">
        <w:rPr>
          <w:rFonts w:cs="Times New Roman"/>
          <w:sz w:val="24"/>
        </w:rPr>
        <w:t>up to 17.4 percentage points with</w:t>
      </w:r>
      <w:r w:rsidRPr="004D3468">
        <w:rPr>
          <w:sz w:val="24"/>
        </w:rPr>
        <w:t xml:space="preserve"> a median of 3.8 </w:t>
      </w:r>
      <w:r w:rsidRPr="0077469D">
        <w:rPr>
          <w:rFonts w:cs="Times New Roman"/>
          <w:sz w:val="24"/>
        </w:rPr>
        <w:t>percent</w:t>
      </w:r>
      <w:r w:rsidR="001867FD">
        <w:rPr>
          <w:rFonts w:cs="Times New Roman"/>
          <w:sz w:val="24"/>
        </w:rPr>
        <w:t>age points</w:t>
      </w:r>
      <w:r w:rsidRPr="004D3468">
        <w:rPr>
          <w:sz w:val="24"/>
        </w:rPr>
        <w:t>;</w:t>
      </w:r>
      <w:r w:rsidR="00F56E8E">
        <w:rPr>
          <w:rStyle w:val="EndnoteReference"/>
        </w:rPr>
        <w:endnoteReference w:id="68"/>
      </w:r>
      <w:r w:rsidRPr="004D3468">
        <w:rPr>
          <w:sz w:val="24"/>
        </w:rPr>
        <w:t xml:space="preserve"> </w:t>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05CE40DD" w14:textId="77777777" w:rsidR="006C2E88" w:rsidRPr="004D3468" w:rsidRDefault="006C2E88" w:rsidP="006C2E88">
      <w:pPr>
        <w:pStyle w:val="EndnoteText"/>
        <w:numPr>
          <w:ilvl w:val="0"/>
          <w:numId w:val="7"/>
        </w:numPr>
        <w:rPr>
          <w:sz w:val="24"/>
        </w:rPr>
      </w:pPr>
      <w:r w:rsidRPr="00D4779F">
        <w:rPr>
          <w:sz w:val="24"/>
        </w:rPr>
        <w:t>Reduce initiation of tobacco use among young people;</w:t>
      </w:r>
      <w:r w:rsidR="00F56E8E">
        <w:rPr>
          <w:rStyle w:val="EndnoteReference"/>
        </w:rPr>
        <w:endnoteReference w:id="69"/>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549B23AB" w14:textId="0C35B5AF" w:rsidR="006C2E88" w:rsidRPr="004D3468" w:rsidRDefault="006C2E88" w:rsidP="006C2E88">
      <w:pPr>
        <w:pStyle w:val="EndnoteText"/>
        <w:numPr>
          <w:ilvl w:val="0"/>
          <w:numId w:val="7"/>
        </w:numPr>
        <w:rPr>
          <w:sz w:val="24"/>
        </w:rPr>
      </w:pPr>
      <w:r w:rsidRPr="00D4779F">
        <w:rPr>
          <w:sz w:val="24"/>
        </w:rPr>
        <w:t>Reduce tobacco-related illnesses and d</w:t>
      </w:r>
      <w:r w:rsidRPr="001C7DC2">
        <w:rPr>
          <w:sz w:val="24"/>
        </w:rPr>
        <w:t xml:space="preserve">eath: </w:t>
      </w:r>
      <w:r w:rsidR="00427231">
        <w:rPr>
          <w:sz w:val="24"/>
        </w:rPr>
        <w:t>T</w:t>
      </w:r>
      <w:r w:rsidRPr="001C7DC2">
        <w:rPr>
          <w:sz w:val="24"/>
        </w:rPr>
        <w:t xml:space="preserve">here </w:t>
      </w:r>
      <w:r w:rsidR="001867FD">
        <w:rPr>
          <w:rFonts w:cs="Times New Roman"/>
          <w:sz w:val="24"/>
        </w:rPr>
        <w:t>was</w:t>
      </w:r>
      <w:r w:rsidRPr="004D3468">
        <w:rPr>
          <w:sz w:val="24"/>
        </w:rPr>
        <w:t xml:space="preserve"> a 5.1</w:t>
      </w:r>
      <w:r w:rsidR="00427231">
        <w:rPr>
          <w:rFonts w:cs="Times New Roman"/>
          <w:sz w:val="24"/>
        </w:rPr>
        <w:t xml:space="preserve"> percent </w:t>
      </w:r>
      <w:r w:rsidRPr="004D3468">
        <w:rPr>
          <w:sz w:val="24"/>
        </w:rPr>
        <w:t>median decrease in hospitalizations from heart attacks and a 20.1 percent</w:t>
      </w:r>
      <w:r w:rsidRPr="0077469D">
        <w:rPr>
          <w:rFonts w:cs="Times New Roman"/>
          <w:sz w:val="24"/>
        </w:rPr>
        <w:t xml:space="preserve"> </w:t>
      </w:r>
      <w:r w:rsidR="00F556DF">
        <w:rPr>
          <w:rFonts w:cs="Times New Roman"/>
          <w:sz w:val="24"/>
        </w:rPr>
        <w:t>median</w:t>
      </w:r>
      <w:r w:rsidRPr="004D3468">
        <w:rPr>
          <w:sz w:val="24"/>
        </w:rPr>
        <w:t xml:space="preserve"> decrease in hospitalizations from asthma attacks</w:t>
      </w:r>
      <w:r w:rsidRPr="00D4779F">
        <w:rPr>
          <w:sz w:val="24"/>
        </w:rPr>
        <w:t>;</w:t>
      </w:r>
      <w:r w:rsidR="00F56E8E">
        <w:rPr>
          <w:rStyle w:val="EndnoteReference"/>
        </w:rPr>
        <w:endnoteReference w:id="70"/>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and </w:t>
      </w:r>
    </w:p>
    <w:p w14:paraId="4FEA74CB" w14:textId="06E23DC3" w:rsidR="00390BB7" w:rsidRPr="0077469D" w:rsidRDefault="00F556DF" w:rsidP="006C2E88">
      <w:pPr>
        <w:pStyle w:val="EndnoteText"/>
        <w:numPr>
          <w:ilvl w:val="0"/>
          <w:numId w:val="7"/>
        </w:numPr>
        <w:rPr>
          <w:rFonts w:cs="Times New Roman"/>
          <w:sz w:val="24"/>
        </w:rPr>
      </w:pPr>
      <w:r>
        <w:rPr>
          <w:rFonts w:cs="Times New Roman"/>
          <w:sz w:val="24"/>
        </w:rPr>
        <w:t xml:space="preserve">One study estimated a $8,803 cost per life year </w:t>
      </w:r>
      <w:r w:rsidR="00CB456C">
        <w:rPr>
          <w:rFonts w:cs="Times New Roman"/>
          <w:sz w:val="24"/>
        </w:rPr>
        <w:t xml:space="preserve">gained </w:t>
      </w:r>
      <w:r>
        <w:rPr>
          <w:rFonts w:cs="Times New Roman"/>
          <w:sz w:val="24"/>
        </w:rPr>
        <w:t xml:space="preserve">while other studies found a </w:t>
      </w:r>
      <w:r w:rsidR="00CB456C">
        <w:rPr>
          <w:rFonts w:cs="Times New Roman"/>
          <w:sz w:val="24"/>
        </w:rPr>
        <w:t>range of $148,000 to</w:t>
      </w:r>
      <w:r>
        <w:rPr>
          <w:rFonts w:cs="Times New Roman"/>
          <w:sz w:val="24"/>
        </w:rPr>
        <w:t xml:space="preserve"> $409,000 in health care costs per 100,000 people averted in one year;</w:t>
      </w:r>
      <w:r w:rsidR="00F56E8E">
        <w:rPr>
          <w:rStyle w:val="EndnoteReference"/>
          <w:rFonts w:cs="Times New Roman"/>
        </w:rPr>
        <w:endnoteReference w:id="71"/>
      </w:r>
      <w:r>
        <w:rPr>
          <w:rFonts w:cs="Times New Roman"/>
          <w:sz w:val="24"/>
        </w:rPr>
        <w:t xml:space="preserve"> </w:t>
      </w:r>
    </w:p>
    <w:p w14:paraId="42EC51D9" w14:textId="77777777" w:rsidR="006C2E88" w:rsidRPr="00390BB7" w:rsidRDefault="006C2E88" w:rsidP="001A7EB0">
      <w:pPr>
        <w:pStyle w:val="EndnoteText"/>
        <w:ind w:left="900" w:firstLine="0"/>
        <w:rPr>
          <w:i/>
          <w:sz w:val="24"/>
        </w:rPr>
      </w:pPr>
    </w:p>
    <w:p w14:paraId="7F0CCCDE" w14:textId="77777777" w:rsidR="006C2E88" w:rsidRPr="00D4779F" w:rsidRDefault="006C2E88" w:rsidP="006C2E88">
      <w:pPr>
        <w:pStyle w:val="EndnoteText"/>
        <w:rPr>
          <w:i/>
          <w:sz w:val="24"/>
        </w:rPr>
      </w:pPr>
      <w:r w:rsidRPr="004D3468">
        <w:rPr>
          <w:i/>
          <w:sz w:val="24"/>
        </w:rPr>
        <w:t>[ Include the following findings about smokeless tobacco if your community will be incorporating the optional language to create completely tobacco-free spaces. ]</w:t>
      </w:r>
    </w:p>
    <w:p w14:paraId="291C5517" w14:textId="77777777" w:rsidR="006C2E88" w:rsidRPr="001C7DC2" w:rsidRDefault="006C2E88" w:rsidP="006C2E88">
      <w:pPr>
        <w:pStyle w:val="EndnoteText"/>
        <w:rPr>
          <w:sz w:val="24"/>
        </w:rPr>
      </w:pPr>
    </w:p>
    <w:p w14:paraId="741A58F1" w14:textId="6CD4BF69" w:rsidR="006C2E88" w:rsidRPr="001C7DC2" w:rsidRDefault="006C2E88" w:rsidP="00E57BED">
      <w:pPr>
        <w:pStyle w:val="EndnoteText"/>
        <w:rPr>
          <w:sz w:val="24"/>
          <w:u w:val="single"/>
        </w:rPr>
      </w:pPr>
      <w:r w:rsidRPr="001C7DC2">
        <w:rPr>
          <w:sz w:val="24"/>
        </w:rPr>
        <w:t xml:space="preserve">[ </w:t>
      </w:r>
      <w:r w:rsidRPr="001C7DC2">
        <w:rPr>
          <w:sz w:val="24"/>
          <w:u w:val="single"/>
        </w:rPr>
        <w:t>WHEREAS, smokeless tobacco is not a safe alternative to smoking and causes its own share of death and disease, as evidenced by the following</w:t>
      </w:r>
      <w:r w:rsidRPr="001C7DC2">
        <w:rPr>
          <w:sz w:val="24"/>
        </w:rPr>
        <w:t>:</w:t>
      </w:r>
    </w:p>
    <w:p w14:paraId="31D313CE" w14:textId="77777777" w:rsidR="00392B3E" w:rsidRDefault="00392B3E" w:rsidP="006C2E88">
      <w:pPr>
        <w:pStyle w:val="EndnoteText"/>
        <w:numPr>
          <w:ilvl w:val="0"/>
          <w:numId w:val="7"/>
        </w:numPr>
        <w:rPr>
          <w:rFonts w:cs="Times New Roman"/>
          <w:sz w:val="24"/>
          <w:u w:val="single"/>
        </w:rPr>
      </w:pPr>
      <w:r>
        <w:rPr>
          <w:rFonts w:cs="Times New Roman"/>
          <w:sz w:val="24"/>
          <w:u w:val="single"/>
        </w:rPr>
        <w:t>Smokeless tobacco can lead to nicotine addiction;</w:t>
      </w:r>
      <w:r w:rsidR="00F56E8E">
        <w:rPr>
          <w:rStyle w:val="EndnoteReference"/>
          <w:rFonts w:cs="Times New Roman"/>
          <w:u w:val="single"/>
        </w:rPr>
        <w:endnoteReference w:id="72"/>
      </w:r>
    </w:p>
    <w:p w14:paraId="09ABA23A" w14:textId="77777777" w:rsidR="006C2E88" w:rsidRPr="00D4779F" w:rsidRDefault="006C2E88" w:rsidP="006C2E88">
      <w:pPr>
        <w:pStyle w:val="EndnoteText"/>
        <w:numPr>
          <w:ilvl w:val="0"/>
          <w:numId w:val="7"/>
        </w:numPr>
        <w:rPr>
          <w:sz w:val="24"/>
          <w:u w:val="single"/>
        </w:rPr>
      </w:pPr>
      <w:r w:rsidRPr="004D3468">
        <w:rPr>
          <w:sz w:val="24"/>
          <w:u w:val="single"/>
        </w:rPr>
        <w:t xml:space="preserve">Smokeless tobacco use </w:t>
      </w:r>
      <w:r w:rsidR="004D3ACA">
        <w:rPr>
          <w:rFonts w:cs="Times New Roman"/>
          <w:sz w:val="24"/>
          <w:u w:val="single"/>
        </w:rPr>
        <w:t>causes</w:t>
      </w:r>
      <w:r w:rsidRPr="004D3468">
        <w:rPr>
          <w:sz w:val="24"/>
          <w:u w:val="single"/>
        </w:rPr>
        <w:t xml:space="preserve"> oral, esophageal, and pancreatic cancers;</w:t>
      </w:r>
      <w:r w:rsidR="00F56E8E">
        <w:rPr>
          <w:rStyle w:val="EndnoteReference"/>
          <w:u w:val="single"/>
        </w:rPr>
        <w:endnoteReference w:id="73"/>
      </w:r>
      <w:r w:rsidR="00683870" w:rsidRPr="004241A4">
        <w:rPr>
          <w:sz w:val="24"/>
          <w:u w:val="single"/>
        </w:rPr>
        <w:fldChar w:fldCharType="begin" w:fldLock="1"/>
      </w:r>
      <w:r w:rsidRPr="00BA04DA">
        <w:rPr>
          <w:sz w:val="24"/>
          <w:u w:val="single"/>
        </w:rPr>
        <w:instrText>ADDIN CSL_CITATION { "citationItems" : [ { "id" : "ITEM-1", "itemData" : { "URL" : "http://www.cancer.gov/cancertopics/causes-prevention/risk/tobacco/smokeless-fact-sheet", "accessed" : { "date-parts" : [ [ "2012", "4", "2" ] ] }, "author" : [ { "dropping-particle" : "", "family" : "National Cancer Institute", "given" : "", "non-dropping-particle" : "", "parse-names" : false, "suffix" : "" } ], "id" : "ITEM-1", "issued" : { "date-parts" : [ [ "2010" ] ] }, "title" : "Smokeless Tobacco and Cancer", "type" : "webpage" }, "uris" : [ "http://www.mendeley.com/documents/?uuid=69cda3a2-2fbc-46da-8f99-c9f3a14a3207" ] } ], "mendeley" : { "formattedCitation" : "&lt;sup&gt;24&lt;/sup&gt;", "plainTextFormattedCitation" : "24", "previouslyFormattedCitation" : "&lt;sup&gt;25&lt;/sup&gt;" }, "properties" : { "noteIndex" : 0 }, "schema" : "https://github.com/citation-style-language/schema/raw/master/csl-citation.json" }</w:instrText>
      </w:r>
      <w:r w:rsidR="00683870" w:rsidRPr="004241A4">
        <w:rPr>
          <w:sz w:val="24"/>
          <w:u w:val="single"/>
        </w:rPr>
        <w:fldChar w:fldCharType="end"/>
      </w:r>
      <w:r w:rsidRPr="004D3468">
        <w:rPr>
          <w:sz w:val="24"/>
          <w:u w:val="single"/>
        </w:rPr>
        <w:t xml:space="preserve"> </w:t>
      </w:r>
    </w:p>
    <w:p w14:paraId="187B3D20" w14:textId="77777777" w:rsidR="006C2E88" w:rsidRPr="004D3468" w:rsidRDefault="006C2E88" w:rsidP="006C2E88">
      <w:pPr>
        <w:pStyle w:val="EndnoteText"/>
        <w:numPr>
          <w:ilvl w:val="0"/>
          <w:numId w:val="7"/>
        </w:numPr>
        <w:rPr>
          <w:sz w:val="24"/>
          <w:u w:val="single"/>
        </w:rPr>
      </w:pPr>
      <w:r w:rsidRPr="001C7DC2">
        <w:rPr>
          <w:sz w:val="24"/>
          <w:u w:val="single"/>
        </w:rPr>
        <w:t>Smokeless tobacco is associated with increased risk for heart disease and stroke,</w:t>
      </w:r>
      <w:r w:rsidR="00F56E8E" w:rsidRPr="00DD67FD">
        <w:rPr>
          <w:rStyle w:val="EndnoteReference"/>
          <w:u w:val="single"/>
        </w:rPr>
        <w:endnoteReference w:id="74"/>
      </w:r>
      <w:r w:rsidR="00683870" w:rsidRPr="00DD67FD">
        <w:rPr>
          <w:sz w:val="24"/>
          <w:u w:val="single"/>
          <w:vertAlign w:val="superscript"/>
        </w:rPr>
        <w:t>,</w:t>
      </w:r>
      <w:r w:rsidR="00F56E8E" w:rsidRPr="00DD67FD">
        <w:rPr>
          <w:rStyle w:val="EndnoteReference"/>
          <w:u w:val="single"/>
        </w:rPr>
        <w:endnoteReference w:id="75"/>
      </w:r>
      <w:r w:rsidR="00683870" w:rsidRPr="00DD67FD">
        <w:rPr>
          <w:sz w:val="24"/>
          <w:u w:val="single"/>
          <w:vertAlign w:val="superscript"/>
        </w:rPr>
        <w:t>,</w:t>
      </w:r>
      <w:r w:rsidR="00F56E8E" w:rsidRPr="00DD67FD">
        <w:rPr>
          <w:rStyle w:val="EndnoteReference"/>
          <w:u w:val="single"/>
        </w:rPr>
        <w:endnoteReference w:id="76"/>
      </w:r>
      <w:r w:rsidRPr="00DD67FD">
        <w:rPr>
          <w:sz w:val="24"/>
          <w:u w:val="single"/>
        </w:rPr>
        <w:t xml:space="preserve"> </w:t>
      </w:r>
      <w:r w:rsidR="00B46A0D">
        <w:rPr>
          <w:rFonts w:cs="Times New Roman"/>
          <w:sz w:val="24"/>
          <w:u w:val="single"/>
        </w:rPr>
        <w:t xml:space="preserve">and </w:t>
      </w:r>
      <w:r w:rsidRPr="004D3468">
        <w:rPr>
          <w:sz w:val="24"/>
          <w:u w:val="single"/>
        </w:rPr>
        <w:t>stillbirth and preterm delivery</w:t>
      </w:r>
      <w:r w:rsidR="00B46A0D">
        <w:rPr>
          <w:rFonts w:cs="Times New Roman"/>
          <w:sz w:val="24"/>
          <w:u w:val="single"/>
        </w:rPr>
        <w:t>;</w:t>
      </w:r>
      <w:r w:rsidR="00F56E8E">
        <w:rPr>
          <w:rStyle w:val="EndnoteReference"/>
          <w:rFonts w:cs="Times New Roman"/>
          <w:u w:val="single"/>
        </w:rPr>
        <w:endnoteReference w:id="77"/>
      </w:r>
      <w:r w:rsidRPr="004D3468">
        <w:rPr>
          <w:sz w:val="24"/>
          <w:u w:val="single"/>
        </w:rPr>
        <w:t xml:space="preserve"> and </w:t>
      </w:r>
    </w:p>
    <w:p w14:paraId="4AE4B4FD" w14:textId="77777777" w:rsidR="00C256C1" w:rsidRPr="00C256C1" w:rsidRDefault="00C256C1" w:rsidP="006C2E88">
      <w:pPr>
        <w:pStyle w:val="EndnoteText"/>
        <w:numPr>
          <w:ilvl w:val="0"/>
          <w:numId w:val="7"/>
        </w:numPr>
        <w:rPr>
          <w:rFonts w:cs="Times New Roman"/>
          <w:sz w:val="24"/>
          <w:u w:val="single"/>
        </w:rPr>
      </w:pPr>
      <w:r w:rsidRPr="00C256C1">
        <w:rPr>
          <w:rFonts w:cs="Times New Roman"/>
          <w:b/>
          <w:sz w:val="24"/>
        </w:rPr>
        <w:lastRenderedPageBreak/>
        <w:t xml:space="preserve">[ insert local </w:t>
      </w:r>
      <w:r>
        <w:rPr>
          <w:rFonts w:cs="Times New Roman"/>
          <w:b/>
          <w:sz w:val="24"/>
        </w:rPr>
        <w:t xml:space="preserve">smokeless tobacco use </w:t>
      </w:r>
      <w:r w:rsidRPr="00C256C1">
        <w:rPr>
          <w:rFonts w:cs="Times New Roman"/>
          <w:b/>
          <w:sz w:val="24"/>
        </w:rPr>
        <w:t>disparities data if available ]</w:t>
      </w:r>
      <w:r w:rsidRPr="001A7EB0">
        <w:rPr>
          <w:rFonts w:cs="Times New Roman"/>
          <w:b/>
          <w:sz w:val="24"/>
        </w:rPr>
        <w:t>.</w:t>
      </w:r>
    </w:p>
    <w:p w14:paraId="430028E0" w14:textId="77777777" w:rsidR="006C2E88" w:rsidRPr="004D3468" w:rsidRDefault="006C2E88" w:rsidP="006C2E88">
      <w:pPr>
        <w:pStyle w:val="EndnoteText"/>
        <w:rPr>
          <w:sz w:val="24"/>
          <w:u w:val="single"/>
        </w:rPr>
      </w:pPr>
    </w:p>
    <w:p w14:paraId="6CACB6FB" w14:textId="38C00B6B" w:rsidR="006C2E88" w:rsidRPr="00D4779F" w:rsidRDefault="006C2E88" w:rsidP="00E57BED">
      <w:pPr>
        <w:pStyle w:val="EndnoteText"/>
        <w:rPr>
          <w:sz w:val="24"/>
        </w:rPr>
      </w:pPr>
      <w:r w:rsidRPr="004D3468">
        <w:rPr>
          <w:sz w:val="24"/>
        </w:rPr>
        <w:t xml:space="preserve">WHEREAS, </w:t>
      </w:r>
      <w:r w:rsidR="00967CB1">
        <w:rPr>
          <w:rFonts w:cs="Times New Roman"/>
          <w:sz w:val="24"/>
        </w:rPr>
        <w:t>tobacco waste is</w:t>
      </w:r>
      <w:r w:rsidRPr="004D3468">
        <w:rPr>
          <w:sz w:val="24"/>
        </w:rPr>
        <w:t xml:space="preserve"> a major and persistent source of litter, as evidenced by the following: </w:t>
      </w:r>
    </w:p>
    <w:p w14:paraId="38F4B564" w14:textId="3A82CD7B" w:rsidR="006C2E88" w:rsidRPr="004D3468" w:rsidRDefault="00967CB1" w:rsidP="006C2E88">
      <w:pPr>
        <w:pStyle w:val="EndnoteText"/>
        <w:numPr>
          <w:ilvl w:val="0"/>
          <w:numId w:val="7"/>
        </w:numPr>
        <w:rPr>
          <w:sz w:val="24"/>
        </w:rPr>
      </w:pPr>
      <w:r>
        <w:rPr>
          <w:rFonts w:cs="Times New Roman"/>
          <w:sz w:val="24"/>
        </w:rPr>
        <w:t>The roughly 6.3 trillion cigarettes smoked globally each year result in 300 billion packs that produce almost 2 million tons of waste paper, cellophane, foil, and glue as well as trillions of butts littered across roadways, sidewalks, parks, and other green spaces;</w:t>
      </w:r>
      <w:r w:rsidR="00F56E8E">
        <w:rPr>
          <w:rStyle w:val="EndnoteReference"/>
          <w:rFonts w:cs="Times New Roman"/>
        </w:rPr>
        <w:endnoteReference w:id="78"/>
      </w:r>
    </w:p>
    <w:p w14:paraId="1EDFA10F" w14:textId="4711B7B5" w:rsidR="006C2E88" w:rsidRPr="00D4779F" w:rsidRDefault="00967CB1" w:rsidP="006C2E88">
      <w:pPr>
        <w:pStyle w:val="EndnoteText"/>
        <w:numPr>
          <w:ilvl w:val="0"/>
          <w:numId w:val="7"/>
        </w:numPr>
        <w:rPr>
          <w:sz w:val="24"/>
        </w:rPr>
      </w:pPr>
      <w:r>
        <w:rPr>
          <w:rFonts w:cs="Times New Roman"/>
          <w:sz w:val="24"/>
        </w:rPr>
        <w:t>In one study, 74.1</w:t>
      </w:r>
      <w:r w:rsidR="00427231">
        <w:rPr>
          <w:rFonts w:cs="Times New Roman"/>
          <w:sz w:val="24"/>
        </w:rPr>
        <w:t xml:space="preserve"> percent</w:t>
      </w:r>
      <w:r>
        <w:rPr>
          <w:rFonts w:cs="Times New Roman"/>
          <w:sz w:val="24"/>
        </w:rPr>
        <w:t xml:space="preserve"> of smokers admitting littering cigarette butts at least once in their life and </w:t>
      </w:r>
      <w:r w:rsidR="006C2E88" w:rsidRPr="004D3468">
        <w:rPr>
          <w:sz w:val="24"/>
        </w:rPr>
        <w:t>55.7 percent admit</w:t>
      </w:r>
      <w:r w:rsidR="006C2E88" w:rsidRPr="00D4779F">
        <w:rPr>
          <w:sz w:val="24"/>
        </w:rPr>
        <w:t xml:space="preserve"> to littering cigarettes in the last month;</w:t>
      </w:r>
      <w:r w:rsidR="00F56E8E">
        <w:rPr>
          <w:rStyle w:val="EndnoteReference"/>
        </w:rPr>
        <w:endnoteReference w:id="79"/>
      </w:r>
      <w:r w:rsidR="00683870" w:rsidRPr="004D3468">
        <w:rPr>
          <w:sz w:val="24"/>
        </w:rPr>
        <w:fldChar w:fldCharType="begin" w:fldLock="1"/>
      </w:r>
      <w:r w:rsidR="006C2E88" w:rsidRPr="00BA04DA">
        <w:rPr>
          <w:sz w:val="24"/>
        </w:rPr>
        <w:instrText>ADDIN CSL_CITATION { "citationItems" : [ { "id" : "ITEM-1", "itemData" : { "DOI" : "10.3390/ijerph9062189", "ISBN" : "1202454577", "ISSN" : "1660-4601", "PMID" : "22829798", "abstract" : "Cigarette butts are consistently the most collected items in litter clean-up efforts, which are a costly burden to local economies. In addition, tobacco waste may be detrimental to our natural environment. The tobacco industry has conducted or funded numerous studies on smokers' littering knowledge and behavior, however, non-industry sponsored research is rare. We sought to examine whether demographics and smokers' knowledge and beliefs toward cigarette waste as litter predicts littering behavior. Smokers aged 18 and older (n = 1,000) were interviewed about their knowledge and beliefs towards cigarette waste as litter. Respondents were members of the Research Now panel, an online panel of over three million respondents in the United States. Multivariate logistic regressions were conducted to determine factors significantly predictive of ever having littered cigarette butts or having littered cigarette butts within the past month (p-value &lt; 0.05). The majority (74.1%) of smokers reported having littered cigarette butts at least once in their life, by disposing of them on the ground or throwing them out of a car window. Over half (55.7%) reported disposing of cigarette butts on the ground, in a sewer/gutter, or down a drain in the past month. Those who did not consider cigarette butts to be litter were over three and half times as likely to report having ever littered cigarette butts (OR = 3.68, 95%CI = 2.04, 6.66) and four times as likely to have littered cigarette butts in the past month (OR = 4.00, 95%CI = 2.53, 6.32). Males were significantly more likely to have littered cigarette butts in the past month compared to females (OR = 1.49, 95%CI = 1.14, 1.94). Holding the belief that cigarette butts are not litter was the only belief in this study that predicted ever or past-month littering of cigarette waste. Messages in anti-cigarette-litter campaigns should emphasize that cigarette butts are not just litter but are toxic waste and are harmful when disposed of improperly.", "author" : [ { "dropping-particle" : "", "family" : "Rath", "given" : "Jessica M", "non-dropping-particle" : "", "parse-names" : false, "suffix" : "" }, { "dropping-particle" : "", "family" : "Rubenstein", "given" : "Rebecca a", "non-dropping-particle" : "", "parse-names" : false, "suffix" : "" }, { "dropping-particle" : "", "family" : "Curry", "given" : "Laurel E", "non-dropping-particle" : "", "parse-names" : false, "suffix" : "" }, { "dropping-particle" : "", "family" : "Shank", "given" : "Sarah E", "non-dropping-particle" : "", "parse-names" : false, "suffix" : "" }, { "dropping-particle" : "", "family" : "Cartwright", "given" : "Julia C", "non-dropping-particle" : "", "parse-names" : false, "suffix" : "" } ], "container-title" : "International journal of environmental research and public health", "id" : "ITEM-1", "issue" : "6", "issued" : { "date-parts" : [ [ "2012", "6" ] ] }, "page" : "2189-203", "title" : "Cigarette litter: Smokers' attitudes and behaviors", "type" : "article-journal", "volume" : "9" }, "uris" : [ "http://www.mendeley.com/documents/?uuid=74e7a2aa-da2a-44fa-a25c-50be40762e4e" ] } ], "mendeley" : { "formattedCitation" : "&lt;sup&gt;31&lt;/sup&gt;", "plainTextFormattedCitation" : "31", "previouslyFormattedCitation" : "&lt;sup&gt;34&lt;/sup&gt;" }, "properties" : { "noteIndex" : 0 }, "schema" : "https://github.com/citation-style-language/schema/raw/master/csl-citation.json" }</w:instrText>
      </w:r>
      <w:r w:rsidR="00683870" w:rsidRPr="004D3468">
        <w:rPr>
          <w:sz w:val="24"/>
        </w:rPr>
        <w:fldChar w:fldCharType="end"/>
      </w:r>
      <w:r w:rsidR="006C2E88" w:rsidRPr="004D3468">
        <w:rPr>
          <w:sz w:val="24"/>
        </w:rPr>
        <w:t xml:space="preserve"> </w:t>
      </w:r>
    </w:p>
    <w:p w14:paraId="04328D3A" w14:textId="77777777" w:rsidR="006C2E88" w:rsidRPr="00D4779F" w:rsidRDefault="006C2E88" w:rsidP="006C2E88">
      <w:pPr>
        <w:pStyle w:val="EndnoteText"/>
        <w:numPr>
          <w:ilvl w:val="0"/>
          <w:numId w:val="7"/>
        </w:numPr>
        <w:rPr>
          <w:sz w:val="24"/>
        </w:rPr>
      </w:pPr>
      <w:r w:rsidRPr="001C7DC2">
        <w:rPr>
          <w:sz w:val="24"/>
        </w:rPr>
        <w:t>In an observational study of nearly 10,000 individuals, after cigarettes were smoked, 45 percent of cigarettes ended up as litter;</w:t>
      </w:r>
      <w:r w:rsidR="001144FA">
        <w:rPr>
          <w:rStyle w:val="EndnoteReference"/>
        </w:rPr>
        <w:endnoteReference w:id="80"/>
      </w:r>
      <w:r w:rsidR="00683870" w:rsidRPr="004D3468">
        <w:rPr>
          <w:sz w:val="24"/>
        </w:rPr>
        <w:fldChar w:fldCharType="begin" w:fldLock="1"/>
      </w:r>
      <w:r w:rsidRPr="00BA04DA">
        <w:rPr>
          <w:sz w:val="24"/>
        </w:rPr>
        <w:instrText>ADDIN CSL_CITATION { "citationItems" : [ { "id" : "ITEM-1", "itemData" : { "DOI" : "10.1136/tc.2010.041707", "ISSN" : "1468-3318", "PMID" : "21504923", "abstract" : "OBJECTIVES: Growing concern over the costs, environmental impact and safety of tobacco product litter (TPL) has prompted states and cities to undertake a variety of policy initiatives, of which litter abatement fees are part. The present work describes a framework and methodology for calculating TPL costs and abatement fees. METHODS: Abatement is associated with four categories of costs: (1) mechanical and manual abatement from streets, sidewalks and public places, (2) mechanical and manual abatement from storm water and sewer treatment systems, (3) the costs associated with harm to the ecosystem and harm to industries dependent on clean and healthy ecosystems, and (4) the costs associated with direct harm to human health. The experiences of the City of San Francisco's recently proposed tobacco litter abatement fee serve as a case study. RESULTS: City and municipal TPL costs are incurred through manual and mechanical clean-up of surfaces and catchment areas. According to some studies, public litter abatement costs to US cities range from US$3 million to US$16 million. TPL typically comprises between 22% and 36% of all visible litter, implying that total public TPL direct abatement costs range from about US$0.5 million to US$6 million for a city the size of San Francisco. The costs of mitigating the negative externalities of TPL in a city the size of San Francisco can be offset by implementing a fee of approximately US$0.20 per pack. CONCLUSIONS: Tobacco litter abatement costs to cities can be substantial, even when the costs of potential environmental pollution and tourism effects are excluded. One public policy option to address tobacco litter is levying of fees on cigarettes sold. The methodology described here for calculating TPL costs and abatement fees may be useful to state and local authorities who are considering adoption of this policy initiative.", "author" : [ { "dropping-particle" : "", "family" : "Schneider", "given" : "John E", "non-dropping-particle" : "", "parse-names" : false, "suffix" : "" }, { "dropping-particle" : "", "family" : "Peterson", "given" : "N Andrew", "non-dropping-particle" : "", "parse-names" : false, "suffix" : "" }, { "dropping-particle" : "", "family" : "Kiss", "given" : "Noemi", "non-dropping-particle" : "", "parse-names" : false, "suffix" : "" }, { "dropping-particle" : "", "family" : "Ebeid", "given" : "Omar", "non-dropping-particle" : "", "parse-names" : false, "suffix" : "" }, { "dropping-particle" : "", "family" : "Doyle", "given" : "Alexis S", "non-dropping-particle" : "", "parse-names" : false, "suffix" : "" } ], "container-title" : "Tobacco control", "id" : "ITEM-1", "issue" : "Suppl 1", "issued" : { "date-parts" : [ [ "2011", "5" ] ] }, "page" : "i36-41", "title" : "Tobacco litter costs and public policy: a framework and methodology for considering the use of fees to offset abatement costs.", "type" : "article-journal", "volume" : "20 Suppl 1" }, "uris" : [ "http://www.mendeley.com/documents/?uuid=bffdc839-267f-42ed-828d-84f2e7c4b8ab" ] } ], "mendeley" : { "formattedCitation" : "&lt;sup&gt;30&lt;/sup&gt;", "plainTextFormattedCitation" : "30", "previouslyFormattedCitation" : "&lt;sup&gt;33&lt;/sup&gt;"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22609635" w14:textId="0DC1744C" w:rsidR="00ED64C7" w:rsidRPr="00ED64C7" w:rsidRDefault="00ED64C7" w:rsidP="006C2E88">
      <w:pPr>
        <w:pStyle w:val="EndnoteText"/>
        <w:numPr>
          <w:ilvl w:val="0"/>
          <w:numId w:val="7"/>
        </w:numPr>
        <w:rPr>
          <w:rFonts w:cs="Times New Roman"/>
          <w:sz w:val="24"/>
        </w:rPr>
      </w:pPr>
      <w:r w:rsidRPr="00ED64C7">
        <w:rPr>
          <w:rFonts w:cs="Times New Roman"/>
          <w:color w:val="333333"/>
          <w:sz w:val="24"/>
          <w:shd w:val="clear" w:color="auto" w:fill="FFFFFF"/>
        </w:rPr>
        <w:t>Tobacco litter represents nearly 34.4</w:t>
      </w:r>
      <w:r w:rsidR="00427231">
        <w:rPr>
          <w:rFonts w:cs="Times New Roman"/>
          <w:color w:val="333333"/>
          <w:sz w:val="24"/>
          <w:shd w:val="clear" w:color="auto" w:fill="FFFFFF"/>
        </w:rPr>
        <w:t xml:space="preserve"> percent</w:t>
      </w:r>
      <w:r w:rsidRPr="00ED64C7">
        <w:rPr>
          <w:rFonts w:cs="Times New Roman"/>
          <w:color w:val="333333"/>
          <w:sz w:val="24"/>
          <w:shd w:val="clear" w:color="auto" w:fill="FFFFFF"/>
        </w:rPr>
        <w:t xml:space="preserve"> of all litter in outdoor recrea</w:t>
      </w:r>
      <w:r>
        <w:rPr>
          <w:rFonts w:cs="Times New Roman"/>
          <w:color w:val="333333"/>
          <w:sz w:val="24"/>
          <w:shd w:val="clear" w:color="auto" w:fill="FFFFFF"/>
        </w:rPr>
        <w:t>tion areas such as hiking trails and parks;</w:t>
      </w:r>
      <w:r w:rsidR="001144FA">
        <w:rPr>
          <w:rStyle w:val="EndnoteReference"/>
          <w:rFonts w:cs="Times New Roman"/>
          <w:color w:val="333333"/>
          <w:shd w:val="clear" w:color="auto" w:fill="FFFFFF"/>
        </w:rPr>
        <w:endnoteReference w:id="81"/>
      </w:r>
    </w:p>
    <w:p w14:paraId="6E6F2234" w14:textId="51973D68" w:rsidR="006C2E88" w:rsidRPr="004D3468" w:rsidRDefault="006C2E88" w:rsidP="006C2E88">
      <w:pPr>
        <w:pStyle w:val="EndnoteText"/>
        <w:numPr>
          <w:ilvl w:val="0"/>
          <w:numId w:val="7"/>
        </w:numPr>
        <w:rPr>
          <w:sz w:val="24"/>
        </w:rPr>
      </w:pPr>
      <w:r w:rsidRPr="004D3468">
        <w:rPr>
          <w:sz w:val="24"/>
        </w:rPr>
        <w:t>In 2011, 22.6 percent of all debris collected from beaches and coastal areas are smoking</w:t>
      </w:r>
      <w:r w:rsidR="00427231">
        <w:rPr>
          <w:sz w:val="24"/>
        </w:rPr>
        <w:t>-</w:t>
      </w:r>
      <w:r w:rsidRPr="004D3468">
        <w:rPr>
          <w:sz w:val="24"/>
        </w:rPr>
        <w:t>related products;</w:t>
      </w:r>
      <w:r w:rsidR="001144FA">
        <w:rPr>
          <w:rStyle w:val="EndnoteReference"/>
        </w:rPr>
        <w:endnoteReference w:id="82"/>
      </w:r>
      <w:r w:rsidR="00683870" w:rsidRPr="004D3468">
        <w:rPr>
          <w:sz w:val="24"/>
        </w:rPr>
        <w:fldChar w:fldCharType="begin" w:fldLock="1"/>
      </w:r>
      <w:r w:rsidRPr="00BA04DA">
        <w:rPr>
          <w:sz w:val="24"/>
        </w:rPr>
        <w:instrText>ADDIN CSL_CITATION { "citationItems" : [ { "id" : "ITEM-1", "itemData" : { "author" : [ { "dropping-particle" : "", "family" : "Ocean Conservancy", "given" : "", "non-dropping-particle" : "", "parse-names" : false, "suffix" : "" } ], "id" : "ITEM-1", "issued" : { "date-parts" : [ [ "2011" ] ] }, "publisher-place" : "Washington, DC", "title" : "Tracking Trash: 25 Years of Action for the Ocean", "type" : "report" }, "uris" : [ "http://www.mendeley.com/documents/?uuid=a7b5837f-50fa-4ccf-9439-bbf6bc432631" ] } ], "mendeley" : { "formattedCitation" : "&lt;sup&gt;32&lt;/sup&gt;", "plainTextFormattedCitation" : "32", "previouslyFormattedCitation" : "&lt;sup&gt;35&lt;/sup&gt;" }, "properties" : { "noteIndex" : 0 }, "schema" : "https://github.com/citation-style-language/schema/raw/master/csl-citation.json" }</w:instrText>
      </w:r>
      <w:r w:rsidR="00683870" w:rsidRPr="004D3468">
        <w:rPr>
          <w:sz w:val="24"/>
        </w:rPr>
        <w:fldChar w:fldCharType="end"/>
      </w:r>
      <w:r w:rsidRPr="004D3468">
        <w:rPr>
          <w:sz w:val="24"/>
        </w:rPr>
        <w:t xml:space="preserve"> and</w:t>
      </w:r>
    </w:p>
    <w:p w14:paraId="38801283" w14:textId="77777777" w:rsidR="006C2E88" w:rsidRPr="004D3468" w:rsidRDefault="006C2E88" w:rsidP="006C2E88">
      <w:pPr>
        <w:pStyle w:val="EndnoteText"/>
        <w:numPr>
          <w:ilvl w:val="0"/>
          <w:numId w:val="7"/>
        </w:numPr>
        <w:rPr>
          <w:sz w:val="24"/>
        </w:rPr>
      </w:pPr>
      <w:r w:rsidRPr="00D4779F">
        <w:rPr>
          <w:sz w:val="24"/>
        </w:rPr>
        <w:t xml:space="preserve">Cigarette butts are </w:t>
      </w:r>
      <w:r w:rsidRPr="001C7DC2">
        <w:rPr>
          <w:sz w:val="24"/>
        </w:rPr>
        <w:t>often cast onto sidewalks and streets, and frequently end up in storm drains that flow into streams, rivers, bays, lagoons, and ultimately the ocean;</w:t>
      </w:r>
      <w:r w:rsidR="001144FA">
        <w:rPr>
          <w:rStyle w:val="EndnoteReference"/>
        </w:rPr>
        <w:endnoteReference w:id="83"/>
      </w:r>
      <w:r w:rsidR="00683870" w:rsidRPr="001A7EB0">
        <w:rPr>
          <w:sz w:val="24"/>
          <w:vertAlign w:val="superscript"/>
        </w:rPr>
        <w:t>,</w:t>
      </w:r>
      <w:r w:rsidR="001144FA">
        <w:rPr>
          <w:rStyle w:val="EndnoteReference"/>
        </w:rPr>
        <w:endnoteReference w:id="84"/>
      </w:r>
    </w:p>
    <w:p w14:paraId="2452FB8A" w14:textId="77777777" w:rsidR="006C2E88" w:rsidRPr="00D4779F" w:rsidRDefault="006C2E88" w:rsidP="006C2E88">
      <w:pPr>
        <w:pStyle w:val="EndnoteText"/>
        <w:rPr>
          <w:sz w:val="24"/>
        </w:rPr>
      </w:pPr>
    </w:p>
    <w:p w14:paraId="7CC96CAC" w14:textId="321BA8A8" w:rsidR="006C2E88" w:rsidRPr="001C7DC2" w:rsidRDefault="006C2E88" w:rsidP="00E57BED">
      <w:pPr>
        <w:pStyle w:val="EndnoteText"/>
        <w:rPr>
          <w:i/>
          <w:sz w:val="24"/>
        </w:rPr>
      </w:pPr>
      <w:r w:rsidRPr="001C7DC2">
        <w:rPr>
          <w:sz w:val="24"/>
        </w:rPr>
        <w:t xml:space="preserve">WHEREAS, </w:t>
      </w:r>
      <w:r w:rsidRPr="0077469D">
        <w:rPr>
          <w:rFonts w:cs="Times New Roman"/>
          <w:sz w:val="24"/>
        </w:rPr>
        <w:t>cigarette</w:t>
      </w:r>
      <w:r w:rsidR="00BA04DA">
        <w:rPr>
          <w:sz w:val="24"/>
        </w:rPr>
        <w:t xml:space="preserve"> butts</w:t>
      </w:r>
      <w:r w:rsidR="005F167F">
        <w:rPr>
          <w:rFonts w:cs="Times New Roman"/>
          <w:sz w:val="24"/>
        </w:rPr>
        <w:t>, smokeless tobacco,</w:t>
      </w:r>
      <w:r w:rsidRPr="0077469D">
        <w:rPr>
          <w:rFonts w:cs="Times New Roman"/>
          <w:sz w:val="24"/>
        </w:rPr>
        <w:t xml:space="preserve"> </w:t>
      </w:r>
      <w:r w:rsidR="00ED64C7">
        <w:rPr>
          <w:rFonts w:cs="Times New Roman"/>
          <w:sz w:val="24"/>
        </w:rPr>
        <w:t>and e</w:t>
      </w:r>
      <w:r w:rsidR="005F167F">
        <w:rPr>
          <w:rFonts w:cs="Times New Roman"/>
          <w:sz w:val="24"/>
        </w:rPr>
        <w:t>lectronic smoking devices</w:t>
      </w:r>
      <w:r w:rsidRPr="004D3468">
        <w:rPr>
          <w:sz w:val="24"/>
        </w:rPr>
        <w:t xml:space="preserve"> pose a health threat </w:t>
      </w:r>
      <w:r w:rsidR="005F167F">
        <w:rPr>
          <w:rFonts w:cs="Times New Roman"/>
          <w:sz w:val="24"/>
        </w:rPr>
        <w:t xml:space="preserve">of poisoning </w:t>
      </w:r>
      <w:r w:rsidRPr="004D3468">
        <w:rPr>
          <w:sz w:val="24"/>
        </w:rPr>
        <w:t>to young children, as evidenced by the following:</w:t>
      </w:r>
      <w:r w:rsidRPr="00D4779F">
        <w:rPr>
          <w:i/>
          <w:sz w:val="24"/>
        </w:rPr>
        <w:t xml:space="preserve"> </w:t>
      </w:r>
    </w:p>
    <w:p w14:paraId="565AEBFB" w14:textId="6A2201C1" w:rsidR="006C2E88" w:rsidRPr="00D4779F" w:rsidRDefault="006C2E88" w:rsidP="006C2E88">
      <w:pPr>
        <w:pStyle w:val="EndnoteText"/>
        <w:numPr>
          <w:ilvl w:val="0"/>
          <w:numId w:val="7"/>
        </w:numPr>
        <w:rPr>
          <w:sz w:val="24"/>
        </w:rPr>
      </w:pPr>
      <w:r w:rsidRPr="001C7DC2">
        <w:rPr>
          <w:sz w:val="24"/>
        </w:rPr>
        <w:t xml:space="preserve">In 2012, American poison control centers received nearly 8,648 reports of poisoning by the ingestion of cigarettes, cigarette butts, and other tobacco products and 84.5 percent of these poisonings were in children ages </w:t>
      </w:r>
      <w:r w:rsidR="00427231">
        <w:rPr>
          <w:sz w:val="24"/>
        </w:rPr>
        <w:t>5</w:t>
      </w:r>
      <w:r w:rsidR="00427231" w:rsidRPr="001C7DC2">
        <w:rPr>
          <w:sz w:val="24"/>
        </w:rPr>
        <w:t xml:space="preserve"> </w:t>
      </w:r>
      <w:r w:rsidRPr="001C7DC2">
        <w:rPr>
          <w:sz w:val="24"/>
        </w:rPr>
        <w:t>and younger;</w:t>
      </w:r>
      <w:r w:rsidR="001144FA">
        <w:rPr>
          <w:rStyle w:val="EndnoteReference"/>
        </w:rPr>
        <w:endnoteReference w:id="85"/>
      </w:r>
      <w:r w:rsidR="00683870" w:rsidRPr="004D3468">
        <w:rPr>
          <w:sz w:val="24"/>
        </w:rPr>
        <w:fldChar w:fldCharType="begin" w:fldLock="1"/>
      </w:r>
      <w:r w:rsidRPr="00BA04DA">
        <w:rPr>
          <w:sz w:val="24"/>
        </w:rPr>
        <w:instrText>ADDIN CSL_CITATION { "citationItems" : [ { "id" : "ITEM-1", "itemData" : { "DOI" : "10.3109/15563650.2013.863906", "ISSN" : "1556-9519", "PMID" : "24359283", "abstract" : "BACKGROUND: This is the 30(th) Annual Report of the American Association of Poison Control Centers' (AAPCC) National Poison Data System (NPDS). As of July 1, 2012, 57 of the nation's poison centers (PCs) uploaded case data automatically to NPDS. The upload interval was 7.58 [6.30, 11.22] (median [25%, 75%]) min, creating a near real-time national exposure and information database and surveillance system. METHODOLOGY: We analyzed the case data tabulating specific indices from NPDS. The methodology was similar to that of previous years. Where changes were introduced, the differences are identified. Poison center cases with medical outcomes of death were evaluated by a team of 34 medical and clinical toxicologist reviewers using an ordinal scale of 1-6 to assess the Relative Contribution to Fatality (RCF) of the exposure to the death. RESULTS: In 2012, 3,373,025 closed encounters were logged by NPDS: 2,275,141 human exposures, 66,440 animal exposures, 1,025,547 information calls, 5,679 human confirmed nonexposures, and 218 animal confirmed nonexposures. Total encounters showed a 6.9% decline from 2011, while healthcare facility (HCF) exposure calls increased by 1.2%. All information calls decreased by 14.8% and HCF information calls decreased by 1.7%, medication identification requests (Drug ID) decreased by 22.0%, and human exposures reported to US PCs decreased by 2.5%. Human exposures with less serious outcomes have decreased by 3.7% per year since 2008, while those with more serious outcomes (moderate, major, or death) have increased by 4.6% per year since 2000. The top five substance classes most frequently involved in all human exposures were analgesics (11.6%), cosmetics/personal care products (7.9%), household cleaning substances (7.2%), sedatives/hypnotics/antipsychotics (6.1%), and foreign bodies/toys/miscellaneous (4.1%). Analgesic exposures as a class increased the most rapidly (8,780 calls/year) over the last 12 years. The top five most common exposures in children aged 5 years or less were cosmetics/ personal care products (13.9%), analgesics (9.9%), household cleaning substances (9.7%), foreign bodies/toys/ miscellaneous (7.0%), and topical preparations (6.3%). Drug identification requests comprised 54.4% of all information calls. NPDS documented 2,937 human exposures resulting in death with 2,576 human fatalities judged related (RCF of 1-Undoubtedly responsible, 2-Probably responsible, or 3-Contributory). CONCLUSIONS: These data support the\u2026", "author" : [ { "dropping-particle" : "", "family" : "Mowry", "given" : "James B", "non-dropping-particle" : "", "parse-names" : false, "suffix" : "" }, { "dropping-particle" : "", "family" : "Spyker", "given" : "Daniel a", "non-dropping-particle" : "", "parse-names" : false, "suffix" : "" }, { "dropping-particle" : "", "family" : "Cantilena", "given" : "Louis R", "non-dropping-particle" : "", "parse-names" : false, "suffix" : "" }, { "dropping-particle" : "", "family" : "Bailey", "given" : "J Elise", "non-dropping-particle" : "", "parse-names" : false, "suffix" : "" }, { "dropping-particle" : "", "family" : "Ford", "given" : "Marsha", "non-dropping-particle" : "", "parse-names" : false, "suffix" : "" } ], "container-title" : "Clinical toxicology", "id" : "ITEM-1", "issue" : "10", "issued" : { "date-parts" : [ [ "2013", "12" ] ] }, "page" : "949-1229", "title" : "2012 Annual report of the American Association of Poison Control Centers' National Poison Data System (NPDS): 30th annual report", "type" : "article-journal", "volume" : "51" }, "uris" : [ "http://www.mendeley.com/documents/?uuid=b034ba89-790e-4c92-a0c3-9b7592a44a45" ] } ], "mendeley" : { "formattedCitation" : "&lt;sup&gt;34&lt;/sup&gt;", "plainTextFormattedCitation" : "34", "previouslyFormattedCitation" : "&lt;sup&gt;30&lt;/sup&gt;"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791BF2CB" w14:textId="5E79C0D3" w:rsidR="005F167F" w:rsidRPr="0077469D" w:rsidRDefault="005F167F" w:rsidP="006C2E88">
      <w:pPr>
        <w:pStyle w:val="EndnoteText"/>
        <w:numPr>
          <w:ilvl w:val="0"/>
          <w:numId w:val="7"/>
        </w:numPr>
        <w:rPr>
          <w:rFonts w:cs="Times New Roman"/>
          <w:sz w:val="24"/>
        </w:rPr>
      </w:pPr>
      <w:r>
        <w:rPr>
          <w:rFonts w:cs="Times New Roman"/>
          <w:sz w:val="24"/>
        </w:rPr>
        <w:t>From 2012</w:t>
      </w:r>
      <w:r w:rsidR="00427231">
        <w:rPr>
          <w:rFonts w:cs="Times New Roman"/>
          <w:sz w:val="24"/>
        </w:rPr>
        <w:t xml:space="preserve"> to </w:t>
      </w:r>
      <w:r>
        <w:rPr>
          <w:rFonts w:cs="Times New Roman"/>
          <w:sz w:val="24"/>
        </w:rPr>
        <w:t xml:space="preserve">2015, American poison control centers received over 29,000 calls for nicotine and tobacco product exposures among children </w:t>
      </w:r>
      <w:r w:rsidR="00427231">
        <w:rPr>
          <w:rFonts w:cs="Times New Roman"/>
          <w:sz w:val="24"/>
        </w:rPr>
        <w:t xml:space="preserve">5 </w:t>
      </w:r>
      <w:r>
        <w:rPr>
          <w:rFonts w:cs="Times New Roman"/>
          <w:sz w:val="24"/>
        </w:rPr>
        <w:t>years old and younger, of which 60.1</w:t>
      </w:r>
      <w:r w:rsidR="00427231">
        <w:rPr>
          <w:rFonts w:cs="Times New Roman"/>
          <w:sz w:val="24"/>
        </w:rPr>
        <w:t xml:space="preserve"> percent</w:t>
      </w:r>
      <w:r>
        <w:rPr>
          <w:rFonts w:cs="Times New Roman"/>
          <w:sz w:val="24"/>
        </w:rPr>
        <w:t xml:space="preserve"> were cigarettes, 14.2</w:t>
      </w:r>
      <w:r w:rsidR="00427231">
        <w:rPr>
          <w:rFonts w:cs="Times New Roman"/>
          <w:sz w:val="24"/>
        </w:rPr>
        <w:t xml:space="preserve"> percent</w:t>
      </w:r>
      <w:r>
        <w:rPr>
          <w:rFonts w:cs="Times New Roman"/>
          <w:sz w:val="24"/>
        </w:rPr>
        <w:t xml:space="preserve"> were electronic smoking devices, and 16.4</w:t>
      </w:r>
      <w:r w:rsidR="000409E1">
        <w:rPr>
          <w:rFonts w:cs="Times New Roman"/>
          <w:sz w:val="24"/>
        </w:rPr>
        <w:t xml:space="preserve"> percent</w:t>
      </w:r>
      <w:r>
        <w:rPr>
          <w:rFonts w:cs="Times New Roman"/>
          <w:sz w:val="24"/>
        </w:rPr>
        <w:t xml:space="preserve"> were other tobacco products;</w:t>
      </w:r>
      <w:r w:rsidR="001144FA">
        <w:rPr>
          <w:rStyle w:val="EndnoteReference"/>
          <w:rFonts w:cs="Times New Roman"/>
        </w:rPr>
        <w:endnoteReference w:id="86"/>
      </w:r>
      <w:r>
        <w:rPr>
          <w:rFonts w:cs="Times New Roman"/>
          <w:sz w:val="24"/>
        </w:rPr>
        <w:t xml:space="preserve"> and</w:t>
      </w:r>
    </w:p>
    <w:p w14:paraId="403E4431" w14:textId="4138054F" w:rsidR="006C2E88" w:rsidRPr="004D3468" w:rsidRDefault="006C2E88" w:rsidP="006C2E88">
      <w:pPr>
        <w:pStyle w:val="EndnoteText"/>
        <w:numPr>
          <w:ilvl w:val="0"/>
          <w:numId w:val="7"/>
        </w:numPr>
        <w:rPr>
          <w:sz w:val="24"/>
        </w:rPr>
      </w:pPr>
      <w:r w:rsidRPr="004D3468">
        <w:rPr>
          <w:sz w:val="24"/>
        </w:rPr>
        <w:t xml:space="preserve">Children who ingest </w:t>
      </w:r>
      <w:r w:rsidR="005F167F">
        <w:rPr>
          <w:rFonts w:cs="Times New Roman"/>
          <w:sz w:val="24"/>
        </w:rPr>
        <w:t>tobacco products</w:t>
      </w:r>
      <w:r w:rsidRPr="004D3468">
        <w:rPr>
          <w:sz w:val="24"/>
        </w:rPr>
        <w:t xml:space="preserve"> can experience vomiting, nausea, lethargy, and gagging</w:t>
      </w:r>
      <w:r w:rsidR="005F167F">
        <w:rPr>
          <w:rFonts w:cs="Times New Roman"/>
          <w:sz w:val="24"/>
        </w:rPr>
        <w:t>,</w:t>
      </w:r>
      <w:r w:rsidR="00CE60B1">
        <w:rPr>
          <w:rStyle w:val="EndnoteReference"/>
          <w:rFonts w:cs="Times New Roman"/>
        </w:rPr>
        <w:endnoteReference w:id="87"/>
      </w:r>
      <w:r w:rsidR="00683870" w:rsidRPr="004D3468">
        <w:rPr>
          <w:sz w:val="24"/>
        </w:rPr>
        <w:fldChar w:fldCharType="begin" w:fldLock="1"/>
      </w:r>
      <w:r w:rsidRPr="005457D6">
        <w:rPr>
          <w:sz w:val="24"/>
        </w:rPr>
        <w:instrText>ADDIN CSL_CITATION { "citationItems" : [ { "id" : "ITEM-1", "itemData" : { "author" : [ { "dropping-particle" : "", "family" : "Lewander", "given" : "W", "non-dropping-particle" : "", "parse-names" : false, "suffix" : "" }, { "dropping-particle" : "", "family" : "Wine", "given" : "H", "non-dropping-particle" : "", "parse-names" : false, "suffix" : "" }, { "dropping-particle" : "", "family" : "Carnevale", "given" : "R", "non-dropping-particle" : "", "parse-names" : false, "suffix" : "" }, { "dropping-particle" : "", "family" : "Lindenmayer", "given" : "J", "non-dropping-particle" : "", "parse-names" : false, "suffix" : "" }, { "dropping-particle" : "", "family" : "Harvey", "given" : "E", "non-dropping-particle" : "", "parse-names" : false, "suffix" : "" }, { "dropping-particle" : "", "family" : "Hall-Walker", "given" : "C", "non-dropping-particle" : "", "parse-names" : false, "suffix" : "" }, { "dropping-particle" : "", "family" : "Lambright", "given" : "L", "non-dropping-particle" : "", "parse-names" : false, "suffix" : "" }, { "dropping-particle" : "", "family" : "Manzo", "given" : "E", "non-dropping-particle" : "", "parse-names" : false, "suffix" : "" } ], "container-title" : "Morbidity and Mortality Weekly Report", "id" : "ITEM-1", "issue" : "6", "issued" : { "date-parts" : [ [ "1997" ] ] }, "page" : "125-128", "title" : "Ingestion of cigarettes and cigarette butts by children --\u00ad Rhode Island, January 1994 -\u00ad July 1996", "type" : "article-journal", "volume" : "40" }, "uris" : [ "http://www.mendeley.com/documents/?uuid=6eb8c7f7-eeeb-47d7-84ca-e20f4cf9952e" ] } ], "mendeley" : { "formattedCitation" : "&lt;sup&gt;35&lt;/sup&gt;", "plainTextFormattedCitation" : "35", "previouslyFormattedCitation" : "&lt;sup&gt;31&lt;/sup&gt;" }, "properties" : { "noteIndex" : 0 }, "schema" : "https://github.com/citation-style-language/schema/raw/master/csl-citation.json" }</w:instrText>
      </w:r>
      <w:r w:rsidR="00683870" w:rsidRPr="004D3468">
        <w:rPr>
          <w:sz w:val="24"/>
        </w:rPr>
        <w:fldChar w:fldCharType="end"/>
      </w:r>
      <w:r w:rsidRPr="004D3468">
        <w:rPr>
          <w:sz w:val="24"/>
        </w:rPr>
        <w:t xml:space="preserve"> </w:t>
      </w:r>
      <w:r w:rsidR="00C06962">
        <w:rPr>
          <w:rFonts w:cs="Times New Roman"/>
          <w:sz w:val="24"/>
        </w:rPr>
        <w:t>with e-liquids potentially posing a greater risk of toxicity or fatality through either ingestion or transdermal absorption;</w:t>
      </w:r>
      <w:r w:rsidR="001144FA">
        <w:rPr>
          <w:rStyle w:val="EndnoteReference"/>
          <w:rFonts w:cs="Times New Roman"/>
        </w:rPr>
        <w:endnoteReference w:id="88"/>
      </w:r>
    </w:p>
    <w:p w14:paraId="2FCADBC0" w14:textId="77777777" w:rsidR="006C2E88" w:rsidRPr="004D3468" w:rsidRDefault="006C2E88" w:rsidP="006C2E88">
      <w:pPr>
        <w:pStyle w:val="EndnoteText"/>
        <w:rPr>
          <w:sz w:val="24"/>
        </w:rPr>
      </w:pPr>
    </w:p>
    <w:p w14:paraId="54BA5512" w14:textId="30680CED" w:rsidR="006C2E88" w:rsidRPr="00D4779F" w:rsidRDefault="006C2E88" w:rsidP="00E57BED">
      <w:pPr>
        <w:pStyle w:val="EndnoteText"/>
        <w:rPr>
          <w:sz w:val="24"/>
        </w:rPr>
      </w:pPr>
      <w:r w:rsidRPr="00D4779F">
        <w:rPr>
          <w:sz w:val="24"/>
        </w:rPr>
        <w:t>WHEREAS, exemptions and loopholes in California</w:t>
      </w:r>
      <w:r w:rsidR="001144FA">
        <w:rPr>
          <w:sz w:val="24"/>
        </w:rPr>
        <w:t>’s</w:t>
      </w:r>
      <w:r w:rsidRPr="00D4779F">
        <w:rPr>
          <w:sz w:val="24"/>
        </w:rPr>
        <w:t xml:space="preserve"> </w:t>
      </w:r>
      <w:r w:rsidR="001144FA">
        <w:rPr>
          <w:sz w:val="24"/>
        </w:rPr>
        <w:t>s</w:t>
      </w:r>
      <w:r w:rsidRPr="00D4779F">
        <w:rPr>
          <w:sz w:val="24"/>
        </w:rPr>
        <w:t xml:space="preserve">mokefree </w:t>
      </w:r>
      <w:r w:rsidR="001144FA">
        <w:rPr>
          <w:sz w:val="24"/>
        </w:rPr>
        <w:t>w</w:t>
      </w:r>
      <w:r w:rsidRPr="00D4779F">
        <w:rPr>
          <w:sz w:val="24"/>
        </w:rPr>
        <w:t>orkplace</w:t>
      </w:r>
      <w:r w:rsidR="001144FA">
        <w:rPr>
          <w:sz w:val="24"/>
        </w:rPr>
        <w:t xml:space="preserve"> laws</w:t>
      </w:r>
      <w:r w:rsidR="001144FA">
        <w:rPr>
          <w:rStyle w:val="EndnoteReference"/>
        </w:rPr>
        <w:endnoteReference w:id="89"/>
      </w:r>
      <w:r w:rsidR="00683870" w:rsidRPr="004D3468">
        <w:rPr>
          <w:sz w:val="24"/>
        </w:rPr>
        <w:fldChar w:fldCharType="begin" w:fldLock="1"/>
      </w:r>
      <w:r w:rsidRPr="005457D6">
        <w:rPr>
          <w:sz w:val="24"/>
        </w:rPr>
        <w:instrText>ADDIN CSL_CITATION { "citationItems" : [ { "id" : "ITEM-1", "itemData" : { "id" : "ITEM-1", "issued" : { "date-parts" : [ [ "1995" ] ] }, "title" : "Cal. Labor Code \u00a7 6404.5", "type" : "legislation" }, "uris" : [ "http://www.mendeley.com/documents/?uuid=52c5ba16-0e2b-4123-b15d-db457674a432" ] } ], "mendeley" : { "formattedCitation" : "&lt;sup&gt;36&lt;/sup&gt;", "plainTextFormattedCitation" : "36", "previouslyFormattedCitation" : "&lt;sup&gt;41&lt;/sup&gt;" }, "properties" : { "noteIndex" : 0 }, "schema" : "https://github.com/citation-style-language/schema/raw/master/csl-citation.json" }</w:instrText>
      </w:r>
      <w:r w:rsidR="00683870" w:rsidRPr="004D3468">
        <w:rPr>
          <w:sz w:val="24"/>
        </w:rPr>
        <w:fldChar w:fldCharType="end"/>
      </w:r>
      <w:r w:rsidRPr="004D3468">
        <w:rPr>
          <w:sz w:val="24"/>
        </w:rPr>
        <w:t xml:space="preserve"> disproportionately impact low-income </w:t>
      </w:r>
      <w:r w:rsidR="00427231">
        <w:rPr>
          <w:sz w:val="24"/>
        </w:rPr>
        <w:t xml:space="preserve">communities </w:t>
      </w:r>
      <w:r w:rsidRPr="004D3468">
        <w:rPr>
          <w:sz w:val="24"/>
        </w:rPr>
        <w:t xml:space="preserve">and communities of color as </w:t>
      </w:r>
      <w:r w:rsidR="00D33C8C">
        <w:rPr>
          <w:rFonts w:cs="Times New Roman"/>
          <w:sz w:val="24"/>
        </w:rPr>
        <w:t>well as those who work pred</w:t>
      </w:r>
      <w:r w:rsidR="00427231">
        <w:rPr>
          <w:rFonts w:cs="Times New Roman"/>
          <w:sz w:val="24"/>
        </w:rPr>
        <w:t>o</w:t>
      </w:r>
      <w:r w:rsidR="00D33C8C">
        <w:rPr>
          <w:rFonts w:cs="Times New Roman"/>
          <w:sz w:val="24"/>
        </w:rPr>
        <w:t>mina</w:t>
      </w:r>
      <w:r w:rsidR="00CE60B1">
        <w:rPr>
          <w:rFonts w:cs="Times New Roman"/>
          <w:sz w:val="24"/>
        </w:rPr>
        <w:t>n</w:t>
      </w:r>
      <w:r w:rsidR="00D33C8C">
        <w:rPr>
          <w:rFonts w:cs="Times New Roman"/>
          <w:sz w:val="24"/>
        </w:rPr>
        <w:t xml:space="preserve">tly outdoors </w:t>
      </w:r>
      <w:r w:rsidRPr="0077469D">
        <w:rPr>
          <w:rFonts w:cs="Times New Roman"/>
          <w:sz w:val="24"/>
        </w:rPr>
        <w:t xml:space="preserve">as </w:t>
      </w:r>
      <w:r w:rsidRPr="004D3468">
        <w:rPr>
          <w:sz w:val="24"/>
        </w:rPr>
        <w:t>evidenced by the following:</w:t>
      </w:r>
    </w:p>
    <w:p w14:paraId="0B5E7D0B" w14:textId="053CD77A" w:rsidR="00D33C8C" w:rsidRDefault="006C2E88" w:rsidP="006C2E88">
      <w:pPr>
        <w:pStyle w:val="EndnoteText"/>
        <w:numPr>
          <w:ilvl w:val="0"/>
          <w:numId w:val="7"/>
        </w:numPr>
        <w:rPr>
          <w:rFonts w:cs="Times New Roman"/>
          <w:sz w:val="24"/>
        </w:rPr>
      </w:pPr>
      <w:r w:rsidRPr="001C7DC2">
        <w:rPr>
          <w:sz w:val="24"/>
        </w:rPr>
        <w:t xml:space="preserve">California Labor Code does not prohibit smoking in </w:t>
      </w:r>
      <w:r w:rsidR="00B5354E">
        <w:rPr>
          <w:rFonts w:cs="Times New Roman"/>
          <w:sz w:val="24"/>
        </w:rPr>
        <w:t>up to 20</w:t>
      </w:r>
      <w:r w:rsidR="00427231">
        <w:rPr>
          <w:rFonts w:cs="Times New Roman"/>
          <w:sz w:val="24"/>
        </w:rPr>
        <w:t xml:space="preserve"> percent</w:t>
      </w:r>
      <w:r w:rsidR="00B5354E">
        <w:rPr>
          <w:rFonts w:cs="Times New Roman"/>
          <w:sz w:val="24"/>
        </w:rPr>
        <w:t xml:space="preserve"> of </w:t>
      </w:r>
      <w:r w:rsidRPr="0077469D">
        <w:rPr>
          <w:rFonts w:cs="Times New Roman"/>
          <w:sz w:val="24"/>
        </w:rPr>
        <w:t>hotel</w:t>
      </w:r>
      <w:r w:rsidR="00B5354E">
        <w:rPr>
          <w:rFonts w:cs="Times New Roman"/>
          <w:sz w:val="24"/>
        </w:rPr>
        <w:t xml:space="preserve"> room</w:t>
      </w:r>
      <w:r w:rsidRPr="0077469D">
        <w:rPr>
          <w:rFonts w:cs="Times New Roman"/>
          <w:sz w:val="24"/>
        </w:rPr>
        <w:t>s</w:t>
      </w:r>
      <w:r w:rsidRPr="004D3468">
        <w:rPr>
          <w:sz w:val="24"/>
        </w:rPr>
        <w:t xml:space="preserve">, cabs of trucks, </w:t>
      </w:r>
      <w:r w:rsidRPr="001C7DC2">
        <w:rPr>
          <w:sz w:val="24"/>
        </w:rPr>
        <w:t xml:space="preserve">long-term care facilities, outdoor places of employment, tobacco </w:t>
      </w:r>
      <w:r w:rsidRPr="001C7DC2">
        <w:rPr>
          <w:sz w:val="24"/>
        </w:rPr>
        <w:lastRenderedPageBreak/>
        <w:t>shops, and private smokers’ lounges, which disproportionately employ individuals of low-income and individuals of color;</w:t>
      </w:r>
      <w:r w:rsidR="002435DD">
        <w:rPr>
          <w:rStyle w:val="EndnoteReference"/>
        </w:rPr>
        <w:endnoteReference w:id="90"/>
      </w:r>
      <w:r w:rsidRPr="004D3468">
        <w:rPr>
          <w:sz w:val="24"/>
        </w:rPr>
        <w:t xml:space="preserve"> </w:t>
      </w:r>
      <w:r w:rsidR="00683870" w:rsidRPr="004D3468">
        <w:rPr>
          <w:sz w:val="24"/>
        </w:rPr>
        <w:fldChar w:fldCharType="begin" w:fldLock="1"/>
      </w:r>
      <w:r w:rsidRPr="005457D6">
        <w:rPr>
          <w:sz w:val="24"/>
        </w:rPr>
        <w:instrText>ADDIN CSL_CITATION { "citationItems" : [ { "id" : "ITEM-1", "itemData" : { "author" : [ { "dropping-particle" : "", "family" : "California Department of Public Health California Tobacco Control Program", "given" : "", "non-dropping-particle" : "", "parse-names" : false, "suffix" : "" } ], "id" : "ITEM-1", "issued" : { "date-parts" : [ [ "2014" ] ] }, "title" : "Breathing secondhand smoke should not be a condition of employment in California 25", "type" : "report" }, "uris" : [ "http://www.mendeley.com/documents/?uuid=3701e0fc-9052-457c-baac-e304e30660f6" ] } ], "mendeley" : { "formattedCitation" : "&lt;sup&gt;40&lt;/sup&gt;", "plainTextFormattedCitation" : "40", "previouslyFormattedCitation" : "&lt;sup&gt;45&lt;/sup&gt;" }, "properties" : { "noteIndex" : 0 }, "schema" : "https://github.com/citation-style-language/schema/raw/master/csl-citation.json" }</w:instrText>
      </w:r>
      <w:r w:rsidR="00683870" w:rsidRPr="004D3468">
        <w:rPr>
          <w:sz w:val="24"/>
        </w:rPr>
        <w:fldChar w:fldCharType="end"/>
      </w:r>
    </w:p>
    <w:p w14:paraId="42EFB8E2" w14:textId="4C920079" w:rsidR="006C2E88" w:rsidRPr="004D3468" w:rsidRDefault="006C2E88" w:rsidP="006C2E88">
      <w:pPr>
        <w:pStyle w:val="EndnoteText"/>
        <w:numPr>
          <w:ilvl w:val="0"/>
          <w:numId w:val="7"/>
        </w:numPr>
        <w:rPr>
          <w:sz w:val="24"/>
        </w:rPr>
      </w:pPr>
      <w:r w:rsidRPr="001C7DC2">
        <w:rPr>
          <w:sz w:val="24"/>
        </w:rPr>
        <w:t>Hispanic/</w:t>
      </w:r>
      <w:r w:rsidRPr="0077469D">
        <w:rPr>
          <w:rFonts w:cs="Times New Roman"/>
          <w:sz w:val="24"/>
        </w:rPr>
        <w:t>Latino</w:t>
      </w:r>
      <w:r w:rsidR="00BA04DA">
        <w:rPr>
          <w:rFonts w:cs="Times New Roman"/>
          <w:sz w:val="24"/>
        </w:rPr>
        <w:t xml:space="preserve"> workers</w:t>
      </w:r>
      <w:r w:rsidRPr="004D3468">
        <w:rPr>
          <w:sz w:val="24"/>
        </w:rPr>
        <w:t xml:space="preserve"> </w:t>
      </w:r>
      <w:r w:rsidRPr="001C7DC2">
        <w:rPr>
          <w:sz w:val="24"/>
        </w:rPr>
        <w:t>are the most likely to report being exposed to secondhand smoke at work</w:t>
      </w:r>
      <w:r w:rsidR="00D33C8C">
        <w:rPr>
          <w:rFonts w:cs="Times New Roman"/>
          <w:sz w:val="24"/>
        </w:rPr>
        <w:t xml:space="preserve"> in California</w:t>
      </w:r>
      <w:r w:rsidR="001A1F43">
        <w:rPr>
          <w:rFonts w:cs="Times New Roman"/>
          <w:sz w:val="24"/>
        </w:rPr>
        <w:t xml:space="preserve"> (19.5</w:t>
      </w:r>
      <w:r w:rsidR="000409E1">
        <w:rPr>
          <w:rFonts w:cs="Times New Roman"/>
          <w:sz w:val="24"/>
        </w:rPr>
        <w:t xml:space="preserve"> percent</w:t>
      </w:r>
      <w:r w:rsidR="001A1F43">
        <w:rPr>
          <w:rFonts w:cs="Times New Roman"/>
          <w:sz w:val="24"/>
        </w:rPr>
        <w:t>), followed by non-Hispanic other (13.7</w:t>
      </w:r>
      <w:r w:rsidR="000409E1">
        <w:rPr>
          <w:rFonts w:cs="Times New Roman"/>
          <w:sz w:val="24"/>
        </w:rPr>
        <w:t xml:space="preserve"> percent</w:t>
      </w:r>
      <w:r w:rsidR="001A1F43">
        <w:rPr>
          <w:rFonts w:cs="Times New Roman"/>
          <w:sz w:val="24"/>
        </w:rPr>
        <w:t>), Asian/Pacific Islanders (10.5</w:t>
      </w:r>
      <w:r w:rsidR="000409E1">
        <w:rPr>
          <w:rFonts w:cs="Times New Roman"/>
          <w:sz w:val="24"/>
        </w:rPr>
        <w:t xml:space="preserve"> percent</w:t>
      </w:r>
      <w:r w:rsidR="001A1F43">
        <w:rPr>
          <w:rFonts w:cs="Times New Roman"/>
          <w:sz w:val="24"/>
        </w:rPr>
        <w:t>), African Americans (10.4</w:t>
      </w:r>
      <w:r w:rsidR="000409E1">
        <w:rPr>
          <w:rFonts w:cs="Times New Roman"/>
          <w:sz w:val="24"/>
        </w:rPr>
        <w:t xml:space="preserve"> percent</w:t>
      </w:r>
      <w:r w:rsidR="001A1F43">
        <w:rPr>
          <w:rFonts w:cs="Times New Roman"/>
          <w:sz w:val="24"/>
        </w:rPr>
        <w:t>), and Caucasians (9.7</w:t>
      </w:r>
      <w:r w:rsidR="000409E1">
        <w:rPr>
          <w:rFonts w:cs="Times New Roman"/>
          <w:sz w:val="24"/>
        </w:rPr>
        <w:t xml:space="preserve"> percent</w:t>
      </w:r>
      <w:r w:rsidR="001A1F43">
        <w:rPr>
          <w:rFonts w:cs="Times New Roman"/>
          <w:sz w:val="24"/>
        </w:rPr>
        <w:t>)</w:t>
      </w:r>
      <w:r w:rsidRPr="004D3468">
        <w:rPr>
          <w:sz w:val="24"/>
        </w:rPr>
        <w:t>;</w:t>
      </w:r>
      <w:r w:rsidR="00F424B3">
        <w:rPr>
          <w:rStyle w:val="EndnoteReference"/>
        </w:rPr>
        <w:endnoteReference w:id="91"/>
      </w:r>
      <w:r w:rsidR="00683870" w:rsidRPr="004D3468">
        <w:rPr>
          <w:sz w:val="24"/>
        </w:rPr>
        <w:fldChar w:fldCharType="begin" w:fldLock="1"/>
      </w:r>
      <w:r w:rsidRPr="005457D6">
        <w:rPr>
          <w:sz w:val="24"/>
        </w:rPr>
        <w:instrText>ADDIN CSL_CITATION { "citationItems" : [ { "id" : "ITEM-1", "itemData" : { "ISSN" : "1468-2877", "PMID" : "22298925", "abstract" : "OBJECTIVES: We estimated self-reported secondhand smoke (SHS) exposure in California at home and at work.\n\nMETHODS: We used data from the 2005 and 2007 California Health Interview Surveys (n=109,809) for home exposure analysis, and we used data from the 2002 and 2005 California Tobacco Surveys (n=12,883) for workplace exposure analysis. Differences in exposure by age, race/ethnicity, and socioeconomic characteristics were assessed using Chi-square tests and multivariate logistic regression analyses.\n\nRESULTS: In the home, children had the lowest rates of SHS exposure (3.4%), followed by adolescents (4.7%) and adults (6.0%). For all age groups, Hispanic people had the lowest exposure to SHS at home, and black people of all ages had higher exposure rates than white people. In the workplace, 12.9% of Californians were exposed to SHS. Men had higher rates of exposure than women, and rates declined with age. Hispanic people had the highest rates of SHS exposure at work (19.5%), followed by Asian/Pacific Islanders (10.5%), black people (10.4%), and white people (9.7%). Workplace exposure rates were highest for people who worked in stores or warehouses, followed by plants or factories, restaurants or bars, and vehicles.\n\nCONCLUSIONS: Despite many years of tough tobacco-control policies in California, people continue to be exposed to SHS at home and in the workplace. The policies that are already in place, such as smoke-free workplace laws, need to be fully enforced. Interventions for reducing SHS exposure should be targeted to the groups with the greatest exposure rates, including Hispanic people, black people, young adults, and those who work in high-exposure settings.", "author" : [ { "dropping-particle" : "", "family" : "Max", "given" : "Wendy", "non-dropping-particle" : "", "parse-names" : false, "suffix" : "" }, { "dropping-particle" : "", "family" : "Sung", "given" : "Hai-Yen", "non-dropping-particle" : "", "parse-names" : false, "suffix" : "" }, { "dropping-particle" : "", "family" : "Shi", "given" : "Yanling", "non-dropping-particle" : "", "parse-names" : false, "suffix" : "" } ], "container-title" : "Public health reports (Washington, D.C. : 1974)", "id" : "ITEM-1", "issue" : "1", "issued" : { "date-parts" : [ [ "2012" ] ] }, "note" : "From Duplicate 2 ( ", "page" : "81-8", "title" : "Exposure to secondhand smoke at home and at work in California.", "type" : "article-journal", "volume" : "127" }, "uris" : [ "http://www.mendeley.com/documents/?uuid=6712e2c2-f91c-4bdd-9153-f0140c66882b" ] } ], "mendeley" : { "formattedCitation" : "&lt;sup&gt;41&lt;/sup&gt;", "plainTextFormattedCitation" : "41", "previouslyFormattedCitation" : "&lt;sup&gt;46&lt;/sup&gt;" }, "properties" : { "noteIndex" : 0 }, "schema" : "https://github.com/citation-style-language/schema/raw/master/csl-citation.json" }</w:instrText>
      </w:r>
      <w:r w:rsidR="00683870" w:rsidRPr="004D3468">
        <w:rPr>
          <w:sz w:val="24"/>
        </w:rPr>
        <w:fldChar w:fldCharType="end"/>
      </w:r>
      <w:r w:rsidRPr="004D3468">
        <w:rPr>
          <w:sz w:val="24"/>
        </w:rPr>
        <w:t xml:space="preserve"> and</w:t>
      </w:r>
    </w:p>
    <w:p w14:paraId="01947E30" w14:textId="49B4B22B" w:rsidR="00D33C8C" w:rsidRDefault="00D33C8C" w:rsidP="00D33C8C">
      <w:pPr>
        <w:pStyle w:val="bullets"/>
        <w:ind w:left="900" w:hanging="252"/>
      </w:pPr>
      <w:r>
        <w:t>Among employed Bay Area young adults, 32.6</w:t>
      </w:r>
      <w:r w:rsidR="000409E1">
        <w:t xml:space="preserve"> percent</w:t>
      </w:r>
      <w:r>
        <w:t xml:space="preserve"> reported workplace exposure to secondhand smoke with </w:t>
      </w:r>
      <w:r w:rsidR="007A2037">
        <w:t>most (</w:t>
      </w:r>
      <w:r>
        <w:t>31.2</w:t>
      </w:r>
      <w:r w:rsidR="000409E1">
        <w:t xml:space="preserve"> percent</w:t>
      </w:r>
      <w:r w:rsidR="007A2037">
        <w:t>)</w:t>
      </w:r>
      <w:r>
        <w:t xml:space="preserve"> reporting outdoor exposure and lower-skilled and trade occupations </w:t>
      </w:r>
      <w:r w:rsidR="007A2037">
        <w:t>demonstrating the four highest significant associations</w:t>
      </w:r>
      <w:r>
        <w:t xml:space="preserve"> </w:t>
      </w:r>
      <w:r w:rsidR="007A2037">
        <w:t>(construction and extraction, transportation and material moving occupations, building and grounds cleaning and maintenance, and food preparation and serving related);</w:t>
      </w:r>
      <w:r w:rsidR="00F424B3">
        <w:rPr>
          <w:rStyle w:val="EndnoteReference"/>
        </w:rPr>
        <w:endnoteReference w:id="92"/>
      </w:r>
    </w:p>
    <w:p w14:paraId="38B9A0E0" w14:textId="77777777" w:rsidR="006C2E88" w:rsidRPr="004D3468" w:rsidRDefault="006C2E88" w:rsidP="006C2E88">
      <w:pPr>
        <w:pStyle w:val="EndnoteText"/>
        <w:rPr>
          <w:sz w:val="24"/>
        </w:rPr>
      </w:pPr>
    </w:p>
    <w:p w14:paraId="445D7603" w14:textId="0CE10A51" w:rsidR="006C2E88" w:rsidRPr="004D3468" w:rsidRDefault="006C2E88" w:rsidP="006C2E88">
      <w:pPr>
        <w:pStyle w:val="EndnoteText"/>
        <w:rPr>
          <w:sz w:val="24"/>
        </w:rPr>
      </w:pPr>
      <w:r w:rsidRPr="004D3468">
        <w:rPr>
          <w:sz w:val="24"/>
        </w:rPr>
        <w:t xml:space="preserve">WHEREAS, California cities and counties have the legal authority to adopt local laws that </w:t>
      </w:r>
      <w:r w:rsidR="00010DD9">
        <w:rPr>
          <w:rFonts w:cs="Times New Roman"/>
          <w:sz w:val="24"/>
        </w:rPr>
        <w:t>prohibit all tobacco use indoors and outdoors</w:t>
      </w:r>
      <w:r w:rsidR="005416D6">
        <w:rPr>
          <w:rFonts w:cs="Times New Roman"/>
          <w:sz w:val="24"/>
        </w:rPr>
        <w:t xml:space="preserve"> in areas not already covered by state law</w:t>
      </w:r>
      <w:r w:rsidRPr="004D3468">
        <w:rPr>
          <w:sz w:val="24"/>
        </w:rPr>
        <w:t>;</w:t>
      </w:r>
      <w:r w:rsidR="00F424B3">
        <w:rPr>
          <w:rStyle w:val="EndnoteReference"/>
        </w:rPr>
        <w:endnoteReference w:id="93"/>
      </w:r>
      <w:r w:rsidR="00683870" w:rsidRPr="004D3468">
        <w:rPr>
          <w:sz w:val="24"/>
        </w:rPr>
        <w:fldChar w:fldCharType="begin" w:fldLock="1"/>
      </w:r>
      <w:r w:rsidRPr="005457D6">
        <w:rPr>
          <w:sz w:val="24"/>
        </w:rPr>
        <w:instrText>ADDIN CSL_CITATION { "citationItems" : [ { "id" : "ITEM-1", "itemData" : { "id" : "ITEM-1", "issued" : { "date-parts" : [ [ "0" ] ] }, "title" : "Cal. Lab. Code \u00a7 6404.5(i) (West 2009)", "type" : "article" }, "uris" : [ "http://www.mendeley.com/documents/?uuid=1f3402fc-1d2a-4c14-8343-a86199ced73d" ] } ], "mendeley" : { "formattedCitation" : "&lt;sup&gt;42&lt;/sup&gt;", "plainTextFormattedCitation" : "42", "previouslyFormattedCitation" : "&lt;sup&gt;47&lt;/sup&gt;" }, "properties" : { "noteIndex" : 0 }, "schema" : "https://github.com/citation-style-language/schema/raw/master/csl-citation.json" }</w:instrText>
      </w:r>
      <w:r w:rsidR="00683870" w:rsidRPr="004D3468">
        <w:rPr>
          <w:sz w:val="24"/>
        </w:rPr>
        <w:fldChar w:fldCharType="end"/>
      </w:r>
      <w:r w:rsidRPr="004D3468">
        <w:rPr>
          <w:sz w:val="24"/>
        </w:rPr>
        <w:t xml:space="preserve"> and</w:t>
      </w:r>
    </w:p>
    <w:p w14:paraId="50851EB7" w14:textId="77777777" w:rsidR="006C2E88" w:rsidRPr="004D3468" w:rsidRDefault="006C2E88" w:rsidP="006C2E88">
      <w:pPr>
        <w:pStyle w:val="EndnoteText"/>
        <w:rPr>
          <w:sz w:val="24"/>
        </w:rPr>
      </w:pPr>
    </w:p>
    <w:p w14:paraId="1DF83337" w14:textId="5C388869" w:rsidR="006C2E88" w:rsidRPr="004D3468" w:rsidRDefault="006C2E88" w:rsidP="006C2E88">
      <w:pPr>
        <w:pStyle w:val="EndnoteText"/>
        <w:rPr>
          <w:sz w:val="24"/>
        </w:rPr>
      </w:pPr>
      <w:r w:rsidRPr="00D4779F">
        <w:rPr>
          <w:sz w:val="24"/>
        </w:rPr>
        <w:t>WHEREAS</w:t>
      </w:r>
      <w:r w:rsidRPr="004D3468">
        <w:rPr>
          <w:sz w:val="24"/>
        </w:rPr>
        <w:t xml:space="preserve">, state law prohibits smoking within 25 feet of playgrounds and tot lots </w:t>
      </w:r>
      <w:r w:rsidR="00010DD9">
        <w:rPr>
          <w:rFonts w:cs="Times New Roman"/>
          <w:sz w:val="24"/>
        </w:rPr>
        <w:t>as well as within 20 feet of public (state, county, city, or community college district) buildings</w:t>
      </w:r>
      <w:r w:rsidR="005416D6">
        <w:rPr>
          <w:rFonts w:cs="Times New Roman"/>
          <w:sz w:val="24"/>
        </w:rPr>
        <w:t>, among other locations,</w:t>
      </w:r>
      <w:r w:rsidRPr="0077469D">
        <w:rPr>
          <w:rFonts w:cs="Times New Roman"/>
          <w:sz w:val="24"/>
        </w:rPr>
        <w:t xml:space="preserve"> </w:t>
      </w:r>
      <w:r w:rsidRPr="004D3468">
        <w:rPr>
          <w:sz w:val="24"/>
        </w:rPr>
        <w:t>and expressly authorizes local communities to enact additional restrictions;</w:t>
      </w:r>
      <w:r w:rsidR="00683870" w:rsidRPr="00DD67FD">
        <w:rPr>
          <w:sz w:val="24"/>
        </w:rPr>
        <w:fldChar w:fldCharType="begin" w:fldLock="1"/>
      </w:r>
      <w:r w:rsidRPr="00DD67FD">
        <w:rPr>
          <w:sz w:val="24"/>
        </w:rPr>
        <w:instrText>ADDIN CSL_CITATION { "citationItems" : [ { "id" : "ITEM-1", "itemData" : { "id" : "ITEM-1", "issued" : { "date-parts" : [ [ "0" ] ] }, "title" : "NoCal. Health &amp; Safety Code \u00a7 104495 (West 2008)", "type" : "article" }, "uris" : [ "http://www.mendeley.com/documents/?uuid=404c514f-d3b0-47ea-88a3-b9f68692a697" ] } ], "mendeley" : { "formattedCitation" : "&lt;sup&gt;43&lt;/sup&gt;", "plainTextFormattedCitation" : "43", "previouslyFormattedCitation" : "&lt;sup&gt;48&lt;/sup&gt;" }, "properties" : { "noteIndex" : 0 }, "schema" : "https://github.com/citation-style-language/schema/raw/master/csl-citation.json" }</w:instrText>
      </w:r>
      <w:r w:rsidR="00683870" w:rsidRPr="00DD67FD">
        <w:rPr>
          <w:sz w:val="24"/>
        </w:rPr>
        <w:fldChar w:fldCharType="end"/>
      </w:r>
      <w:r w:rsidR="00F424B3" w:rsidRPr="00DD67FD">
        <w:rPr>
          <w:rStyle w:val="EndnoteReference"/>
        </w:rPr>
        <w:endnoteReference w:id="94"/>
      </w:r>
      <w:r w:rsidR="00683870" w:rsidRPr="00DD67FD">
        <w:rPr>
          <w:sz w:val="24"/>
          <w:vertAlign w:val="superscript"/>
        </w:rPr>
        <w:t>,</w:t>
      </w:r>
      <w:r w:rsidR="00F424B3" w:rsidRPr="00DD67FD">
        <w:rPr>
          <w:rStyle w:val="EndnoteReference"/>
        </w:rPr>
        <w:endnoteReference w:id="95"/>
      </w:r>
      <w:r w:rsidR="00895D5B" w:rsidRPr="00DD67FD">
        <w:rPr>
          <w:sz w:val="24"/>
          <w:vertAlign w:val="superscript"/>
        </w:rPr>
        <w:t>,</w:t>
      </w:r>
      <w:r w:rsidR="00895D5B" w:rsidRPr="00DD67FD">
        <w:rPr>
          <w:rStyle w:val="EndnoteReference"/>
        </w:rPr>
        <w:endnoteReference w:id="96"/>
      </w:r>
      <w:r w:rsidR="009F2EE3" w:rsidRPr="00DD67FD">
        <w:rPr>
          <w:sz w:val="24"/>
          <w:vertAlign w:val="superscript"/>
        </w:rPr>
        <w:t xml:space="preserve"> </w:t>
      </w:r>
      <w:r w:rsidRPr="004D3468">
        <w:rPr>
          <w:sz w:val="24"/>
        </w:rPr>
        <w:t>and</w:t>
      </w:r>
    </w:p>
    <w:p w14:paraId="55D18B90" w14:textId="77777777" w:rsidR="006C2E88" w:rsidRPr="00D4779F" w:rsidRDefault="006C2E88" w:rsidP="006C2E88">
      <w:pPr>
        <w:pStyle w:val="EndnoteText"/>
        <w:rPr>
          <w:sz w:val="24"/>
        </w:rPr>
      </w:pPr>
    </w:p>
    <w:p w14:paraId="5DA8FBDB" w14:textId="3423FB4E" w:rsidR="006C2E88" w:rsidRPr="001C7DC2" w:rsidRDefault="006C2E88" w:rsidP="00E57BED">
      <w:pPr>
        <w:pStyle w:val="EndnoteText"/>
        <w:rPr>
          <w:sz w:val="24"/>
        </w:rPr>
      </w:pPr>
      <w:r w:rsidRPr="001C7DC2">
        <w:rPr>
          <w:sz w:val="24"/>
        </w:rPr>
        <w:t>WHEREAS, there is broad public recognition of the dangers of secondhand smoke and support for smokefree air laws, as evidenced by the following:</w:t>
      </w:r>
    </w:p>
    <w:p w14:paraId="36D2E197" w14:textId="77777777" w:rsidR="006C2E88" w:rsidRPr="00D4779F" w:rsidRDefault="006C2E88" w:rsidP="006C2E88">
      <w:pPr>
        <w:pStyle w:val="EndnoteText"/>
        <w:numPr>
          <w:ilvl w:val="0"/>
          <w:numId w:val="7"/>
        </w:numPr>
        <w:rPr>
          <w:sz w:val="24"/>
        </w:rPr>
      </w:pPr>
      <w:r w:rsidRPr="001C7DC2">
        <w:rPr>
          <w:sz w:val="24"/>
        </w:rPr>
        <w:t>A 2008 survey of California voters found that 97 percent thought that secondhand smoke is harmful, 88 percent thought secondhand smoke was harmful even outdoors, 65 percent were bothered by secondhand smoke, and 73 percent support laws restricting smoking in outdoor public places;</w:t>
      </w:r>
      <w:r w:rsidR="006D402C">
        <w:rPr>
          <w:rStyle w:val="EndnoteReference"/>
        </w:rPr>
        <w:endnoteReference w:id="97"/>
      </w:r>
      <w:r w:rsidR="00F424B3">
        <w:rPr>
          <w:sz w:val="24"/>
        </w:rPr>
        <w:t xml:space="preserve"> </w:t>
      </w:r>
      <w:r w:rsidRPr="004D3468">
        <w:rPr>
          <w:sz w:val="24"/>
        </w:rPr>
        <w:t xml:space="preserve">and </w:t>
      </w:r>
    </w:p>
    <w:p w14:paraId="57210A76" w14:textId="30D8E434" w:rsidR="006C2E88" w:rsidRPr="00DD67FD" w:rsidRDefault="000310EC" w:rsidP="00DD67FD">
      <w:pPr>
        <w:pStyle w:val="EndnoteText"/>
        <w:numPr>
          <w:ilvl w:val="0"/>
          <w:numId w:val="7"/>
        </w:numPr>
        <w:rPr>
          <w:rFonts w:cs="Times New Roman"/>
          <w:sz w:val="24"/>
        </w:rPr>
      </w:pPr>
      <w:r>
        <w:rPr>
          <w:rFonts w:cs="Times New Roman"/>
          <w:sz w:val="24"/>
        </w:rPr>
        <w:t>In a 2015 survey of California voters, 70</w:t>
      </w:r>
      <w:r w:rsidR="000409E1">
        <w:rPr>
          <w:rFonts w:cs="Times New Roman"/>
          <w:sz w:val="24"/>
        </w:rPr>
        <w:t xml:space="preserve"> percent</w:t>
      </w:r>
      <w:r>
        <w:rPr>
          <w:rFonts w:cs="Times New Roman"/>
          <w:sz w:val="24"/>
        </w:rPr>
        <w:t xml:space="preserve"> supported prohibiting electronic smoking device use where smoking is prohibited;</w:t>
      </w:r>
      <w:r w:rsidR="006D402C">
        <w:rPr>
          <w:rStyle w:val="EndnoteReference"/>
          <w:rFonts w:cs="Times New Roman"/>
        </w:rPr>
        <w:endnoteReference w:id="98"/>
      </w:r>
      <w:r>
        <w:rPr>
          <w:rFonts w:cs="Times New Roman"/>
          <w:sz w:val="24"/>
        </w:rPr>
        <w:t xml:space="preserve"> </w:t>
      </w:r>
    </w:p>
    <w:p w14:paraId="07714CC8" w14:textId="77777777" w:rsidR="009F2EE3" w:rsidRDefault="009F2EE3" w:rsidP="006C2E88">
      <w:pPr>
        <w:pStyle w:val="EndnoteText"/>
        <w:rPr>
          <w:sz w:val="24"/>
        </w:rPr>
      </w:pPr>
    </w:p>
    <w:p w14:paraId="299B430F" w14:textId="77777777" w:rsidR="006C2E88" w:rsidRPr="004D3468" w:rsidRDefault="006C2E88" w:rsidP="006C2E88">
      <w:pPr>
        <w:pStyle w:val="EndnoteText"/>
        <w:rPr>
          <w:sz w:val="24"/>
        </w:rPr>
      </w:pPr>
      <w:r w:rsidRPr="004D3468">
        <w:rPr>
          <w:sz w:val="24"/>
        </w:rPr>
        <w:t xml:space="preserve">WHEREAS, as of </w:t>
      </w:r>
      <w:r w:rsidR="001644CC">
        <w:rPr>
          <w:rFonts w:cs="Times New Roman"/>
          <w:sz w:val="24"/>
        </w:rPr>
        <w:t>March 2018</w:t>
      </w:r>
      <w:r w:rsidRPr="004D3468">
        <w:rPr>
          <w:sz w:val="24"/>
        </w:rPr>
        <w:t xml:space="preserve">, there are at least </w:t>
      </w:r>
      <w:r w:rsidR="00BA04DA">
        <w:rPr>
          <w:rFonts w:cs="Times New Roman"/>
          <w:sz w:val="24"/>
        </w:rPr>
        <w:t>104</w:t>
      </w:r>
      <w:r w:rsidRPr="004D3468">
        <w:rPr>
          <w:sz w:val="24"/>
        </w:rPr>
        <w:t xml:space="preserve"> California cities and counties with </w:t>
      </w:r>
      <w:r w:rsidR="001644CC">
        <w:rPr>
          <w:rFonts w:cs="Times New Roman"/>
          <w:sz w:val="24"/>
        </w:rPr>
        <w:t>comprehensive outdoor secondhand smoke ordinances;</w:t>
      </w:r>
      <w:r w:rsidR="006D402C">
        <w:rPr>
          <w:rStyle w:val="EndnoteReference"/>
          <w:rFonts w:cs="Times New Roman"/>
        </w:rPr>
        <w:endnoteReference w:id="99"/>
      </w:r>
      <w:r w:rsidRPr="0077469D">
        <w:rPr>
          <w:rFonts w:cs="Times New Roman"/>
          <w:sz w:val="24"/>
        </w:rPr>
        <w:t xml:space="preserve"> and</w:t>
      </w:r>
    </w:p>
    <w:p w14:paraId="44686965" w14:textId="77777777" w:rsidR="006C2E88" w:rsidRPr="00D4779F" w:rsidRDefault="006C2E88" w:rsidP="006C2E88">
      <w:pPr>
        <w:pStyle w:val="EndnoteText"/>
        <w:rPr>
          <w:sz w:val="24"/>
        </w:rPr>
      </w:pPr>
    </w:p>
    <w:p w14:paraId="74A02473" w14:textId="77777777" w:rsidR="006C2E88" w:rsidRPr="004D3468" w:rsidRDefault="006C2E88" w:rsidP="006C2E88">
      <w:pPr>
        <w:pStyle w:val="EndnoteText"/>
        <w:rPr>
          <w:sz w:val="24"/>
        </w:rPr>
      </w:pPr>
      <w:r w:rsidRPr="001C7DC2">
        <w:rPr>
          <w:sz w:val="24"/>
        </w:rPr>
        <w:t>WHEREAS</w:t>
      </w:r>
      <w:r w:rsidRPr="004D3468">
        <w:rPr>
          <w:sz w:val="24"/>
        </w:rPr>
        <w:t xml:space="preserve">, as of </w:t>
      </w:r>
      <w:r w:rsidR="00515D89">
        <w:rPr>
          <w:sz w:val="24"/>
        </w:rPr>
        <w:t>July 1, 2018</w:t>
      </w:r>
      <w:r w:rsidR="006D402C">
        <w:rPr>
          <w:sz w:val="24"/>
        </w:rPr>
        <w:t>,</w:t>
      </w:r>
      <w:r w:rsidR="00515D89">
        <w:rPr>
          <w:sz w:val="24"/>
        </w:rPr>
        <w:t xml:space="preserve"> </w:t>
      </w:r>
      <w:r w:rsidRPr="004D3468">
        <w:rPr>
          <w:sz w:val="24"/>
        </w:rPr>
        <w:t xml:space="preserve">at least </w:t>
      </w:r>
      <w:r w:rsidR="00BA04DA">
        <w:rPr>
          <w:sz w:val="24"/>
        </w:rPr>
        <w:t>120</w:t>
      </w:r>
      <w:r w:rsidRPr="004D3468">
        <w:rPr>
          <w:sz w:val="24"/>
        </w:rPr>
        <w:t xml:space="preserve"> local jurisdictions in California prohibit the use of electronic smoking devices in specific locations;</w:t>
      </w:r>
      <w:r w:rsidR="006D402C">
        <w:rPr>
          <w:rStyle w:val="EndnoteReference"/>
        </w:rPr>
        <w:endnoteReference w:id="100"/>
      </w:r>
      <w:r w:rsidR="00683870" w:rsidRPr="004D3468">
        <w:rPr>
          <w:sz w:val="24"/>
        </w:rPr>
        <w:fldChar w:fldCharType="begin" w:fldLock="1"/>
      </w:r>
      <w:r w:rsidRPr="005457D6">
        <w:rPr>
          <w:sz w:val="24"/>
        </w:rPr>
        <w:instrText>ADDIN CSL_CITATION { "citationItems" : [ { "id" : "ITEM-1", "itemData" : { "URL" : "http://center4tobaccopolicy.org/wp-content/uploads/2015/04/Local-Policies-on-Use-of-E-Cigs-April-2015.pdf", "author" : [ { "dropping-particle" : "", "family" : "American Lung Association in California the Center for Tobacco Policy and Organizing", "given" : "", "non-dropping-particle" : "", "parse-names" : false, "suffix" : "" } ], "id" : "ITEM-1", "issued" : { "date-parts" : [ [ "2015" ] ] }, "title" : "Local Policies on the Use of Electronic Cigarettes", "type" : "webpage" }, "uris" : [ "http://www.mendeley.com/documents/?uuid=a0636c8e-df6a-4628-91ac-6013be234a8b" ] } ], "mendeley" : { "formattedCitation" : "&lt;sup&gt;46&lt;/sup&gt;", "plainTextFormattedCitation" : "46", "previouslyFormattedCitation" : "&lt;sup&gt;51&lt;/sup&gt;" }, "properties" : { "noteIndex" : 0 }, "schema" : "https://github.com/citation-style-language/schema/raw/master/csl-citation.json" }</w:instrText>
      </w:r>
      <w:r w:rsidR="00683870" w:rsidRPr="004D3468">
        <w:rPr>
          <w:sz w:val="24"/>
        </w:rPr>
        <w:fldChar w:fldCharType="end"/>
      </w:r>
      <w:r w:rsidRPr="004D3468">
        <w:rPr>
          <w:sz w:val="24"/>
        </w:rPr>
        <w:t xml:space="preserve"> and </w:t>
      </w:r>
    </w:p>
    <w:p w14:paraId="3EA34B09" w14:textId="77777777" w:rsidR="006C2E88" w:rsidRPr="004D3468" w:rsidRDefault="006C2E88" w:rsidP="006C2E88">
      <w:pPr>
        <w:pStyle w:val="EndnoteText"/>
        <w:rPr>
          <w:sz w:val="24"/>
        </w:rPr>
      </w:pPr>
    </w:p>
    <w:p w14:paraId="19826A78" w14:textId="7EAFE778" w:rsidR="006C2E88" w:rsidRPr="004D3468" w:rsidRDefault="006C2E88" w:rsidP="006C2E88">
      <w:pPr>
        <w:pStyle w:val="EndnoteText"/>
        <w:rPr>
          <w:sz w:val="24"/>
        </w:rPr>
      </w:pPr>
      <w:r w:rsidRPr="00D4779F">
        <w:rPr>
          <w:sz w:val="24"/>
        </w:rPr>
        <w:t xml:space="preserve">WHEREAS, as of January 2015, there are at least </w:t>
      </w:r>
      <w:r w:rsidR="006D402C" w:rsidRPr="006D402C">
        <w:rPr>
          <w:sz w:val="24"/>
        </w:rPr>
        <w:t xml:space="preserve">382 </w:t>
      </w:r>
      <w:r w:rsidRPr="00D4779F">
        <w:rPr>
          <w:sz w:val="24"/>
        </w:rPr>
        <w:t xml:space="preserve">California cities and counties with local </w:t>
      </w:r>
      <w:r w:rsidRPr="00D4779F">
        <w:rPr>
          <w:sz w:val="24"/>
        </w:rPr>
        <w:lastRenderedPageBreak/>
        <w:t>laws restricting smoking in recreational areas,</w:t>
      </w:r>
      <w:r w:rsidR="00ED56D8">
        <w:rPr>
          <w:rStyle w:val="EndnoteReference"/>
        </w:rPr>
        <w:endnoteReference w:id="101"/>
      </w:r>
      <w:r w:rsidRPr="00D4779F">
        <w:rPr>
          <w:sz w:val="24"/>
        </w:rPr>
        <w:t xml:space="preserve"> </w:t>
      </w:r>
      <w:r w:rsidR="00ED56D8">
        <w:rPr>
          <w:sz w:val="24"/>
        </w:rPr>
        <w:t>101</w:t>
      </w:r>
      <w:r w:rsidR="00ED56D8" w:rsidRPr="006D402C">
        <w:rPr>
          <w:sz w:val="24"/>
        </w:rPr>
        <w:t xml:space="preserve"> </w:t>
      </w:r>
      <w:r w:rsidRPr="00D4779F">
        <w:rPr>
          <w:sz w:val="24"/>
        </w:rPr>
        <w:t xml:space="preserve">with local laws restricting smoking in </w:t>
      </w:r>
      <w:r w:rsidR="00ED56D8">
        <w:rPr>
          <w:sz w:val="24"/>
        </w:rPr>
        <w:t xml:space="preserve">all </w:t>
      </w:r>
      <w:r w:rsidRPr="00D4779F">
        <w:rPr>
          <w:sz w:val="24"/>
        </w:rPr>
        <w:t>outdoor dining places,</w:t>
      </w:r>
      <w:r w:rsidR="00ED56D8">
        <w:rPr>
          <w:rStyle w:val="EndnoteReference"/>
        </w:rPr>
        <w:endnoteReference w:id="102"/>
      </w:r>
      <w:r w:rsidRPr="00D4779F">
        <w:rPr>
          <w:sz w:val="24"/>
        </w:rPr>
        <w:t xml:space="preserve"> and </w:t>
      </w:r>
      <w:r w:rsidR="006D402C">
        <w:rPr>
          <w:sz w:val="24"/>
        </w:rPr>
        <w:t>126</w:t>
      </w:r>
      <w:r w:rsidRPr="00D4779F">
        <w:rPr>
          <w:sz w:val="24"/>
        </w:rPr>
        <w:t xml:space="preserve"> with</w:t>
      </w:r>
      <w:r w:rsidRPr="001C7DC2">
        <w:rPr>
          <w:sz w:val="24"/>
        </w:rPr>
        <w:t xml:space="preserve"> local laws restricting smoking </w:t>
      </w:r>
      <w:r w:rsidR="00752566">
        <w:rPr>
          <w:sz w:val="24"/>
        </w:rPr>
        <w:t>with</w:t>
      </w:r>
      <w:r w:rsidR="006D402C">
        <w:rPr>
          <w:sz w:val="24"/>
        </w:rPr>
        <w:t xml:space="preserve">in </w:t>
      </w:r>
      <w:r w:rsidR="00752566">
        <w:rPr>
          <w:sz w:val="24"/>
        </w:rPr>
        <w:t xml:space="preserve">20 feet (or more) of </w:t>
      </w:r>
      <w:r w:rsidR="006D402C">
        <w:rPr>
          <w:sz w:val="24"/>
        </w:rPr>
        <w:t>entry</w:t>
      </w:r>
      <w:r w:rsidR="00752566">
        <w:rPr>
          <w:sz w:val="24"/>
        </w:rPr>
        <w:t>ways</w:t>
      </w:r>
      <w:r w:rsidRPr="001C7DC2">
        <w:rPr>
          <w:sz w:val="24"/>
        </w:rPr>
        <w:t>;</w:t>
      </w:r>
      <w:r w:rsidR="006D402C">
        <w:rPr>
          <w:rStyle w:val="EndnoteReference"/>
        </w:rPr>
        <w:endnoteReference w:id="103"/>
      </w:r>
      <w:r w:rsidR="00683870" w:rsidRPr="004D3468">
        <w:rPr>
          <w:sz w:val="24"/>
        </w:rPr>
        <w:fldChar w:fldCharType="begin" w:fldLock="1"/>
      </w:r>
      <w:r w:rsidRPr="005457D6">
        <w:rPr>
          <w:sz w:val="24"/>
        </w:rPr>
        <w:instrText>ADDIN CSL_CITATION { "citationItems" : [ { "id" : "ITEM-1", "itemData" : { "author" : [ { "dropping-particle" : "", "family" : "Association", "given" : "American Lung", "non-dropping-particle" : "", "parse-names" : false, "suffix" : "" } ], "id" : "ITEM-1", "issued" : { "date-parts" : [ [ "2015" ] ] }, "title" : "State of Tobacco Control 2015", "type" : "report" }, "uris" : [ "http://www.mendeley.com/documents/?uuid=57b3b3f8-7194-400e-920f-fafb576a7bf6" ] } ], "mendeley" : { "formattedCitation" : "&lt;sup&gt;47&lt;/sup&gt;", "plainTextFormattedCitation" : "47", "previouslyFormattedCitation" : "&lt;sup&gt;52&lt;/sup&gt;" }, "properties" : { "noteIndex" : 0 }, "schema" : "https://github.com/citation-style-language/schema/raw/master/csl-citation.json" }</w:instrText>
      </w:r>
      <w:r w:rsidR="00683870" w:rsidRPr="004D3468">
        <w:rPr>
          <w:sz w:val="24"/>
        </w:rPr>
        <w:fldChar w:fldCharType="end"/>
      </w:r>
      <w:r w:rsidRPr="004D3468">
        <w:rPr>
          <w:sz w:val="24"/>
        </w:rPr>
        <w:t xml:space="preserve"> and</w:t>
      </w:r>
    </w:p>
    <w:p w14:paraId="3B3B3B09" w14:textId="77777777" w:rsidR="006C2E88" w:rsidRPr="004D3468" w:rsidRDefault="006C2E88" w:rsidP="006C2E88">
      <w:pPr>
        <w:pStyle w:val="EndnoteText"/>
        <w:rPr>
          <w:i/>
          <w:sz w:val="24"/>
        </w:rPr>
      </w:pPr>
    </w:p>
    <w:p w14:paraId="6A54A002" w14:textId="77777777" w:rsidR="006C2E88" w:rsidRPr="004D3468" w:rsidRDefault="006C2E88" w:rsidP="006C2E88">
      <w:pPr>
        <w:pStyle w:val="EndnoteText"/>
        <w:rPr>
          <w:sz w:val="24"/>
        </w:rPr>
      </w:pPr>
      <w:r w:rsidRPr="004D3468">
        <w:rPr>
          <w:sz w:val="24"/>
        </w:rPr>
        <w:t>WHEREAS, there is no Constitutional right to smoke;</w:t>
      </w:r>
      <w:r w:rsidR="0028664E">
        <w:rPr>
          <w:rStyle w:val="EndnoteReference"/>
        </w:rPr>
        <w:endnoteReference w:id="104"/>
      </w:r>
      <w:r w:rsidR="00683870" w:rsidRPr="001C7DC2">
        <w:rPr>
          <w:sz w:val="24"/>
        </w:rPr>
        <w:fldChar w:fldCharType="begin" w:fldLock="1"/>
      </w:r>
      <w:r w:rsidRPr="005457D6">
        <w:rPr>
          <w:sz w:val="24"/>
        </w:rPr>
        <w:instrText>ADDIN CSL_CITATION { "citationItems" : [ { "id" : "ITEM-1", "itemData" : { "author" : [ { "dropping-particle" : "", "family" : "ChangLab Solutions", "given" : "", "non-dropping-particle" : "", "parse-names" : false, "suffix" : "" } ], "id" : "ITEM-1", "issue" : "April", "issued" : { "date-parts" : [ [ "2005" ] ] }, "publisher-place" : "Oakland, CA", "title" : "There is No Constitutional Right to Smoke (CA Version", "type" : "report" }, "uris" : [ "http://www.mendeley.com/documents/?uuid=14ed5930-ac18-4888-a454-7c9aa5e026dc" ] } ], "mendeley" : { "formattedCitation" : "&lt;sup&gt;48&lt;/sup&gt;", "plainTextFormattedCitation" : "48", "previouslyFormattedCitation" : "&lt;sup&gt;53&lt;/sup&gt;" }, "properties" : { "noteIndex" : 0 }, "schema" : "https://github.com/citation-style-language/schema/raw/master/csl-citation.json" }</w:instrText>
      </w:r>
      <w:r w:rsidR="00683870" w:rsidRPr="001C7DC2">
        <w:rPr>
          <w:sz w:val="24"/>
        </w:rPr>
        <w:fldChar w:fldCharType="end"/>
      </w:r>
    </w:p>
    <w:p w14:paraId="4B8B6177" w14:textId="77777777" w:rsidR="006C2E88" w:rsidRPr="00D4779F" w:rsidRDefault="006C2E88" w:rsidP="006C2E88">
      <w:pPr>
        <w:pStyle w:val="EndnoteText"/>
        <w:rPr>
          <w:sz w:val="24"/>
        </w:rPr>
      </w:pPr>
    </w:p>
    <w:p w14:paraId="3D26EBEC" w14:textId="77777777" w:rsidR="006C2E88" w:rsidRDefault="006C2E88" w:rsidP="006C2E88">
      <w:pPr>
        <w:pStyle w:val="EndnoteText"/>
        <w:rPr>
          <w:rFonts w:cs="Times New Roman"/>
          <w:sz w:val="24"/>
        </w:rPr>
      </w:pPr>
      <w:r w:rsidRPr="001C7DC2">
        <w:rPr>
          <w:sz w:val="24"/>
        </w:rPr>
        <w:t>NOW THEREFORE, it is the intent of the [ </w:t>
      </w:r>
      <w:r w:rsidRPr="001C7DC2">
        <w:rPr>
          <w:sz w:val="24"/>
          <w:u w:val="single"/>
        </w:rPr>
        <w:t>City Council</w:t>
      </w:r>
      <w:r w:rsidRPr="001C7DC2">
        <w:rPr>
          <w:sz w:val="24"/>
        </w:rPr>
        <w:t xml:space="preserve"> / </w:t>
      </w:r>
      <w:r w:rsidRPr="001C7DC2">
        <w:rPr>
          <w:sz w:val="24"/>
          <w:u w:val="double"/>
        </w:rPr>
        <w:t>County Board of Supervisors</w:t>
      </w:r>
      <w:r w:rsidRPr="001C7DC2">
        <w:rPr>
          <w:sz w:val="24"/>
        </w:rPr>
        <w:t xml:space="preserve"> ], in enacting this ordinance, to provide for the public health, safety, and welfare by discouraging the inherently dangerous behavior of smoking [ </w:t>
      </w:r>
      <w:r w:rsidRPr="001C7DC2">
        <w:rPr>
          <w:sz w:val="24"/>
          <w:u w:val="single"/>
        </w:rPr>
        <w:t>and tobacco use</w:t>
      </w:r>
      <w:r w:rsidRPr="001C7DC2">
        <w:rPr>
          <w:sz w:val="24"/>
        </w:rPr>
        <w:t xml:space="preserve"> ] around non-tobacco users, especially children; by protecting the public from exposure to secondhand smoke where they live, work, and play; by reducing the potential for children to wrongly associate smoking [ </w:t>
      </w:r>
      <w:r w:rsidRPr="001C7DC2">
        <w:rPr>
          <w:sz w:val="24"/>
          <w:u w:val="single"/>
        </w:rPr>
        <w:t>and tobacco use</w:t>
      </w:r>
      <w:r w:rsidRPr="001C7DC2">
        <w:rPr>
          <w:sz w:val="24"/>
        </w:rPr>
        <w:t xml:space="preserve"> ] with a healthy lifestyle; and by affirming and promoting a healthy environment in the [ </w:t>
      </w:r>
      <w:r w:rsidRPr="006E390F">
        <w:rPr>
          <w:sz w:val="24"/>
          <w:u w:val="single"/>
        </w:rPr>
        <w:t>City</w:t>
      </w:r>
      <w:r w:rsidRPr="006E390F">
        <w:rPr>
          <w:sz w:val="24"/>
        </w:rPr>
        <w:t xml:space="preserve"> / </w:t>
      </w:r>
      <w:r w:rsidRPr="006E390F">
        <w:rPr>
          <w:sz w:val="24"/>
          <w:u w:val="double"/>
        </w:rPr>
        <w:t>County</w:t>
      </w:r>
      <w:r w:rsidRPr="006E390F">
        <w:rPr>
          <w:sz w:val="24"/>
        </w:rPr>
        <w:t> ].</w:t>
      </w:r>
    </w:p>
    <w:p w14:paraId="19358079" w14:textId="77777777" w:rsidR="006C2E88" w:rsidRDefault="006C2E88" w:rsidP="006C2E88">
      <w:pPr>
        <w:pStyle w:val="EndnoteText"/>
        <w:rPr>
          <w:rFonts w:cs="Times New Roman"/>
          <w:sz w:val="24"/>
        </w:rPr>
      </w:pPr>
    </w:p>
    <w:p w14:paraId="348E5D3A" w14:textId="77777777" w:rsidR="006C2E88" w:rsidRDefault="006C2E88" w:rsidP="006C2E88">
      <w:pPr>
        <w:pStyle w:val="EndnoteText"/>
        <w:rPr>
          <w:rFonts w:cs="Times New Roman"/>
          <w:sz w:val="24"/>
        </w:rPr>
      </w:pPr>
    </w:p>
    <w:p w14:paraId="549B478C" w14:textId="77777777" w:rsidR="006C2E88" w:rsidRDefault="006C2E88" w:rsidP="006C2E88">
      <w:pPr>
        <w:pStyle w:val="EndnoteText"/>
        <w:rPr>
          <w:rFonts w:cs="Times New Roman"/>
          <w:sz w:val="24"/>
        </w:rPr>
      </w:pPr>
    </w:p>
    <w:p w14:paraId="641498A7" w14:textId="77777777" w:rsidR="006C2E88" w:rsidRDefault="006C2E88" w:rsidP="006C2E88">
      <w:pPr>
        <w:pStyle w:val="EndnoteText"/>
        <w:rPr>
          <w:rFonts w:cs="Times New Roman"/>
          <w:sz w:val="24"/>
        </w:rPr>
      </w:pPr>
    </w:p>
    <w:p w14:paraId="053133DC" w14:textId="77777777" w:rsidR="006C2E88" w:rsidRPr="004D3468" w:rsidRDefault="006C2E88" w:rsidP="006C2E88">
      <w:pPr>
        <w:pStyle w:val="EndnoteText"/>
        <w:rPr>
          <w:sz w:val="24"/>
        </w:rPr>
      </w:pPr>
    </w:p>
    <w:p w14:paraId="4B9F35B2" w14:textId="77777777" w:rsidR="00615A6D" w:rsidRPr="005578AF" w:rsidRDefault="00615A6D" w:rsidP="006A5CDB">
      <w:pPr>
        <w:pStyle w:val="EndnoteText"/>
      </w:pPr>
    </w:p>
    <w:p w14:paraId="35DBBF0A" w14:textId="77777777" w:rsidR="003605E4" w:rsidRDefault="003605E4">
      <w:pPr>
        <w:spacing w:line="240" w:lineRule="auto"/>
        <w:rPr>
          <w:rFonts w:cs="Times-Roman"/>
          <w:color w:val="000000"/>
          <w:szCs w:val="20"/>
          <w:lang w:bidi="en-US"/>
        </w:rPr>
      </w:pPr>
    </w:p>
    <w:sectPr w:rsidR="003605E4" w:rsidSect="001A7EB0">
      <w:headerReference w:type="default" r:id="rId11"/>
      <w:footerReference w:type="default" r:id="rId12"/>
      <w:headerReference w:type="first" r:id="rId13"/>
      <w:footerReference w:type="first" r:id="rId14"/>
      <w:endnotePr>
        <w:numFmt w:val="decimal"/>
      </w:endnotePr>
      <w:type w:val="continuous"/>
      <w:pgSz w:w="12240" w:h="15840" w:code="1"/>
      <w:pgMar w:top="1446" w:right="1260" w:bottom="912" w:left="1800" w:header="0" w:footer="446"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803C1" w14:textId="77777777" w:rsidR="00746985" w:rsidRDefault="00746985" w:rsidP="007F3AE1">
      <w:pPr>
        <w:spacing w:line="240" w:lineRule="auto"/>
      </w:pPr>
      <w:r>
        <w:separator/>
      </w:r>
    </w:p>
  </w:endnote>
  <w:endnote w:type="continuationSeparator" w:id="0">
    <w:p w14:paraId="697DECE5" w14:textId="77777777" w:rsidR="00746985" w:rsidRDefault="00746985" w:rsidP="007F3AE1">
      <w:pPr>
        <w:spacing w:line="240" w:lineRule="auto"/>
      </w:pPr>
      <w:r>
        <w:continuationSeparator/>
      </w:r>
    </w:p>
  </w:endnote>
  <w:endnote w:type="continuationNotice" w:id="1">
    <w:p w14:paraId="5F4A5A6C" w14:textId="77777777" w:rsidR="00746985" w:rsidRDefault="00746985">
      <w:pPr>
        <w:spacing w:line="240" w:lineRule="auto"/>
      </w:pPr>
    </w:p>
  </w:endnote>
  <w:endnote w:id="2">
    <w:p w14:paraId="30FE254D" w14:textId="10DEEEF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Tobacco Key Facts. World Health Organization. </w:t>
      </w:r>
      <w:hyperlink r:id="rId1" w:history="1">
        <w:r w:rsidRPr="001E1FB1">
          <w:rPr>
            <w:rStyle w:val="Hyperlink"/>
            <w:rFonts w:cs="Times New Roman"/>
            <w:sz w:val="18"/>
            <w:szCs w:val="18"/>
            <w:u w:val="none"/>
          </w:rPr>
          <w:t>www.who.int/news-room/fact-sheets/detail/tobacco</w:t>
        </w:r>
      </w:hyperlink>
      <w:r w:rsidRPr="001E1FB1">
        <w:rPr>
          <w:rFonts w:cs="Times New Roman"/>
          <w:sz w:val="18"/>
          <w:szCs w:val="18"/>
        </w:rPr>
        <w:t>. Accessed August 17, 2018.</w:t>
      </w:r>
    </w:p>
  </w:endnote>
  <w:endnote w:id="3">
    <w:p w14:paraId="20E9C933" w14:textId="63314DD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w:t>
      </w:r>
      <w:r w:rsidRPr="001E1FB1">
        <w:rPr>
          <w:rFonts w:cs="Times New Roman"/>
          <w:iCs/>
          <w:sz w:val="18"/>
          <w:szCs w:val="18"/>
        </w:rPr>
        <w:t>The Health Consequences of Smoking — 50 Years of Progress: A Report of the Surgeon General Executive Summary</w:t>
      </w:r>
      <w:r w:rsidRPr="001E1FB1">
        <w:rPr>
          <w:rFonts w:cs="Times New Roman"/>
          <w:sz w:val="18"/>
          <w:szCs w:val="18"/>
        </w:rPr>
        <w:t>. U.S. Department of Health and Human Services</w:t>
      </w:r>
      <w:r w:rsidRPr="001E1FB1">
        <w:rPr>
          <w:rFonts w:cs="Times New Roman"/>
          <w:i/>
          <w:sz w:val="18"/>
          <w:szCs w:val="18"/>
        </w:rPr>
        <w:t xml:space="preserve">. </w:t>
      </w:r>
      <w:hyperlink r:id="rId2" w:history="1">
        <w:r w:rsidRPr="001E1FB1">
          <w:rPr>
            <w:rStyle w:val="Hyperlink"/>
            <w:rFonts w:cs="Times New Roman"/>
            <w:sz w:val="18"/>
            <w:szCs w:val="18"/>
            <w:u w:val="none"/>
          </w:rPr>
          <w:t>www.surgeongeneral.gov/library/reports/50-years-of-progress/exec-summary.pdf</w:t>
        </w:r>
      </w:hyperlink>
      <w:r w:rsidRPr="001E1FB1">
        <w:rPr>
          <w:rFonts w:cs="Times New Roman"/>
          <w:sz w:val="18"/>
          <w:szCs w:val="18"/>
        </w:rPr>
        <w:t>.</w:t>
      </w:r>
      <w:r w:rsidRPr="001E1FB1">
        <w:rPr>
          <w:rFonts w:cs="Times New Roman"/>
          <w:i/>
          <w:sz w:val="18"/>
          <w:szCs w:val="18"/>
        </w:rPr>
        <w:t xml:space="preserve"> </w:t>
      </w:r>
      <w:r w:rsidRPr="001E1FB1">
        <w:rPr>
          <w:rFonts w:cs="Times New Roman"/>
          <w:sz w:val="18"/>
          <w:szCs w:val="18"/>
        </w:rPr>
        <w:t>Accessed August 17, 2018.</w:t>
      </w:r>
    </w:p>
  </w:endnote>
  <w:endnote w:id="4">
    <w:p w14:paraId="43D87548" w14:textId="6155034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Factsheet: The Health Consequences of Smoking—50 Years of Progress: A Report of the Surgeon General. U.S. Department of Health and Human Services. </w:t>
      </w:r>
      <w:hyperlink r:id="rId3" w:history="1">
        <w:r w:rsidRPr="001E1FB1">
          <w:rPr>
            <w:rStyle w:val="Hyperlink"/>
            <w:rFonts w:cs="Times New Roman"/>
            <w:sz w:val="18"/>
            <w:szCs w:val="18"/>
            <w:u w:val="none"/>
          </w:rPr>
          <w:t>www.surgeongeneral.gov/library/reports/50-years-of-progress/fact-sheet.html</w:t>
        </w:r>
      </w:hyperlink>
      <w:r w:rsidRPr="001E1FB1">
        <w:rPr>
          <w:rFonts w:cs="Times New Roman"/>
          <w:sz w:val="18"/>
          <w:szCs w:val="18"/>
        </w:rPr>
        <w:t>. Accessed August 17, 2018.</w:t>
      </w:r>
    </w:p>
  </w:endnote>
  <w:endnote w:id="5">
    <w:p w14:paraId="62181722" w14:textId="38EA2A8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Factsheet: The Health Consequences of Smoking—50 Years of Progress: A Report of the Surgeon General. U.S. Department of Health and Human Services. </w:t>
      </w:r>
      <w:hyperlink r:id="rId4" w:history="1">
        <w:r w:rsidRPr="001E1FB1">
          <w:rPr>
            <w:rStyle w:val="Hyperlink"/>
            <w:rFonts w:cs="Times New Roman"/>
            <w:sz w:val="18"/>
            <w:szCs w:val="18"/>
            <w:u w:val="none"/>
          </w:rPr>
          <w:t>www.surgeongeneral.gov/library/reports/50-years-of-progress/fact-sheet.html</w:t>
        </w:r>
      </w:hyperlink>
      <w:r w:rsidRPr="001E1FB1">
        <w:rPr>
          <w:rFonts w:cs="Times New Roman"/>
          <w:sz w:val="18"/>
          <w:szCs w:val="18"/>
        </w:rPr>
        <w:t>. Accessed August 17, 2018.</w:t>
      </w:r>
    </w:p>
  </w:endnote>
  <w:endnote w:id="6">
    <w:p w14:paraId="12785652" w14:textId="1836964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Factsheet: The Health Consequences of Smoking—50 Years of Progress: A Report of the Surgeon General. U.S. Department of Health and Human Services. </w:t>
      </w:r>
      <w:hyperlink r:id="rId5" w:history="1">
        <w:r w:rsidRPr="001E1FB1">
          <w:rPr>
            <w:rStyle w:val="Hyperlink"/>
            <w:rFonts w:cs="Times New Roman"/>
            <w:sz w:val="18"/>
            <w:szCs w:val="18"/>
            <w:u w:val="none"/>
          </w:rPr>
          <w:t>www.surgeongeneral.gov/library/reports/50-years-of-progress/fact-sheet.html</w:t>
        </w:r>
      </w:hyperlink>
      <w:r w:rsidRPr="001E1FB1">
        <w:rPr>
          <w:rFonts w:cs="Times New Roman"/>
          <w:sz w:val="18"/>
          <w:szCs w:val="18"/>
        </w:rPr>
        <w:t>. Accessed August 17, 2018.</w:t>
      </w:r>
    </w:p>
  </w:endnote>
  <w:endnote w:id="7">
    <w:p w14:paraId="096EA1F4" w14:textId="77777777" w:rsidR="00377B4F" w:rsidRPr="001E1FB1" w:rsidRDefault="00377B4F" w:rsidP="009F2EE3">
      <w:pPr>
        <w:pStyle w:val="EndnoteText"/>
        <w:spacing w:line="240" w:lineRule="auto"/>
        <w:rPr>
          <w:rFonts w:cs="Times New Roman"/>
          <w:sz w:val="18"/>
          <w:szCs w:val="18"/>
        </w:rPr>
      </w:pPr>
      <w:r w:rsidRPr="001E1FB1">
        <w:rPr>
          <w:rStyle w:val="EndnoteReference"/>
          <w:sz w:val="20"/>
        </w:rPr>
        <w:endnoteRef/>
      </w:r>
      <w:r w:rsidRPr="001E1FB1">
        <w:rPr>
          <w:rFonts w:cs="Times New Roman"/>
          <w:sz w:val="18"/>
          <w:szCs w:val="18"/>
        </w:rPr>
        <w:t xml:space="preserve"> Centers for Disease Control and Prevention. Prevention Status Reports: Tobacco Use—California 2015. </w:t>
      </w:r>
      <w:hyperlink r:id="rId6" w:history="1">
        <w:r w:rsidRPr="001E1FB1">
          <w:rPr>
            <w:rStyle w:val="Hyperlink"/>
            <w:rFonts w:cs="Times New Roman"/>
            <w:sz w:val="18"/>
            <w:szCs w:val="18"/>
            <w:u w:val="none"/>
          </w:rPr>
          <w:t>wwwn.cdc.gov/psr/</w:t>
        </w:r>
      </w:hyperlink>
      <w:r w:rsidRPr="001E1FB1">
        <w:rPr>
          <w:rFonts w:cs="Times New Roman"/>
          <w:sz w:val="18"/>
          <w:szCs w:val="18"/>
        </w:rPr>
        <w:t>. Accessed June 15, 2018.</w:t>
      </w:r>
    </w:p>
  </w:endnote>
  <w:endnote w:id="8">
    <w:p w14:paraId="7447B114" w14:textId="77777777" w:rsidR="00377B4F" w:rsidRPr="001E1FB1" w:rsidRDefault="00377B4F" w:rsidP="009F2EE3">
      <w:pPr>
        <w:pStyle w:val="EndnoteText"/>
        <w:spacing w:line="240" w:lineRule="auto"/>
        <w:rPr>
          <w:rFonts w:cs="Times New Roman"/>
          <w:sz w:val="18"/>
          <w:szCs w:val="18"/>
        </w:rPr>
      </w:pPr>
      <w:r w:rsidRPr="001E1FB1">
        <w:rPr>
          <w:rFonts w:cs="Times New Roman"/>
          <w:sz w:val="18"/>
          <w:szCs w:val="18"/>
          <w:vertAlign w:val="superscript"/>
        </w:rPr>
        <w:endnoteRef/>
      </w:r>
      <w:r w:rsidRPr="001E1FB1">
        <w:rPr>
          <w:rFonts w:cs="Times New Roman"/>
          <w:sz w:val="18"/>
          <w:szCs w:val="18"/>
        </w:rPr>
        <w:t xml:space="preserve"> The Toll of Tobacco in California. Campaign for Tobacco-Free Kids website. </w:t>
      </w:r>
      <w:hyperlink r:id="rId7" w:history="1">
        <w:r w:rsidRPr="001E1FB1">
          <w:rPr>
            <w:rStyle w:val="Hyperlink"/>
            <w:rFonts w:cs="Times New Roman"/>
            <w:sz w:val="18"/>
            <w:szCs w:val="18"/>
            <w:u w:val="none"/>
          </w:rPr>
          <w:t>www.tobaccofreekids.org/problem/toll-us/california</w:t>
        </w:r>
      </w:hyperlink>
      <w:r w:rsidRPr="001E1FB1">
        <w:rPr>
          <w:rFonts w:cs="Times New Roman"/>
          <w:sz w:val="18"/>
          <w:szCs w:val="18"/>
        </w:rPr>
        <w:t>. Accessed June 20, 2018.</w:t>
      </w:r>
    </w:p>
  </w:endnote>
  <w:endnote w:id="9">
    <w:p w14:paraId="7D61493E" w14:textId="77777777" w:rsidR="00377B4F" w:rsidRPr="001E1FB1" w:rsidRDefault="00377B4F" w:rsidP="009F2EE3">
      <w:pPr>
        <w:pStyle w:val="EndnoteText"/>
        <w:spacing w:line="240"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The Toll of Tobacco in California. Campaign for Tobacco-Free Kids website. </w:t>
      </w:r>
      <w:hyperlink r:id="rId8" w:history="1">
        <w:r w:rsidRPr="001E1FB1">
          <w:rPr>
            <w:rStyle w:val="Hyperlink"/>
            <w:rFonts w:cs="Times New Roman"/>
            <w:sz w:val="18"/>
            <w:szCs w:val="18"/>
            <w:u w:val="none"/>
          </w:rPr>
          <w:t>www.tobaccofreekids.org/problem/toll-us/california</w:t>
        </w:r>
      </w:hyperlink>
      <w:r w:rsidRPr="001E1FB1">
        <w:rPr>
          <w:rFonts w:cs="Times New Roman"/>
          <w:sz w:val="18"/>
          <w:szCs w:val="18"/>
        </w:rPr>
        <w:t>. Accessed June 20, 2018.</w:t>
      </w:r>
    </w:p>
  </w:endnote>
  <w:endnote w:id="10">
    <w:p w14:paraId="1843CED4" w14:textId="77777777" w:rsidR="00377B4F" w:rsidRPr="001E1FB1" w:rsidRDefault="00377B4F" w:rsidP="009F2EE3">
      <w:pPr>
        <w:pStyle w:val="EndnoteText"/>
        <w:spacing w:line="240" w:lineRule="auto"/>
        <w:rPr>
          <w:rFonts w:cs="Times New Roman"/>
          <w:sz w:val="18"/>
          <w:szCs w:val="18"/>
        </w:rPr>
      </w:pPr>
      <w:r w:rsidRPr="001E1FB1">
        <w:rPr>
          <w:rFonts w:cs="Times New Roman"/>
          <w:sz w:val="18"/>
          <w:szCs w:val="18"/>
          <w:vertAlign w:val="superscript"/>
        </w:rPr>
        <w:endnoteRef/>
      </w:r>
      <w:r w:rsidRPr="001E1FB1">
        <w:rPr>
          <w:rFonts w:cs="Times New Roman"/>
          <w:sz w:val="18"/>
          <w:szCs w:val="18"/>
        </w:rPr>
        <w:t xml:space="preserve"> Lortet-Tieulent J, Sauer AG, Siegel RL, et al. State-level cancer mortality attributable to cigarette smoking in the United States. </w:t>
      </w:r>
      <w:r w:rsidRPr="001E1FB1">
        <w:rPr>
          <w:rFonts w:cs="Times New Roman"/>
          <w:i/>
          <w:sz w:val="18"/>
          <w:szCs w:val="18"/>
        </w:rPr>
        <w:t xml:space="preserve">JAMA Intern Med. </w:t>
      </w:r>
      <w:r w:rsidRPr="001E1FB1">
        <w:rPr>
          <w:rFonts w:cs="Times New Roman"/>
          <w:sz w:val="18"/>
          <w:szCs w:val="18"/>
        </w:rPr>
        <w:t>2016;176(12):1792–1798. doi:10.1001/jamainternmed.2016.6530.</w:t>
      </w:r>
    </w:p>
  </w:endnote>
  <w:endnote w:id="11">
    <w:p w14:paraId="58B9F892" w14:textId="077181A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National Cancer Institute. A Socioecological Approach to Addressing Tobacco-Related Health Disparities. National Cancer Institute Tobacco Control Monograph 22. NIH Publication No. 17-CA-8035A. </w:t>
      </w:r>
      <w:hyperlink r:id="rId9" w:history="1">
        <w:r w:rsidRPr="001E1FB1">
          <w:rPr>
            <w:rStyle w:val="Hyperlink"/>
            <w:rFonts w:cs="Times New Roman"/>
            <w:sz w:val="18"/>
            <w:szCs w:val="18"/>
            <w:u w:val="none"/>
          </w:rPr>
          <w:t>https://cancercontrol.cancer.gov/brp/tcrb/monographs/22/index.html</w:t>
        </w:r>
      </w:hyperlink>
      <w:r w:rsidRPr="001E1FB1">
        <w:rPr>
          <w:rFonts w:cs="Times New Roman"/>
          <w:sz w:val="18"/>
          <w:szCs w:val="18"/>
        </w:rPr>
        <w:t>. Accessed August 17, 2018.</w:t>
      </w:r>
    </w:p>
  </w:endnote>
  <w:endnote w:id="12">
    <w:p w14:paraId="20F62033" w14:textId="1D83A8D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0"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Accessed August 17, 2018</w:t>
      </w:r>
    </w:p>
  </w:endnote>
  <w:endnote w:id="13">
    <w:p w14:paraId="6FFAF207" w14:textId="1165CD74"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1"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August 17, 2018</w:t>
      </w:r>
    </w:p>
  </w:endnote>
  <w:endnote w:id="14">
    <w:p w14:paraId="441F8ABD" w14:textId="33CDF5DF"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2"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August 17, 2018</w:t>
      </w:r>
    </w:p>
  </w:endnote>
  <w:endnote w:id="15">
    <w:p w14:paraId="4E7C561D" w14:textId="38DC1613"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3"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August 17, 2018</w:t>
      </w:r>
    </w:p>
  </w:endnote>
  <w:endnote w:id="16">
    <w:p w14:paraId="5A8DF89B" w14:textId="77777777" w:rsidR="00377B4F" w:rsidRPr="001E1FB1" w:rsidRDefault="00377B4F" w:rsidP="009F2EE3">
      <w:pPr>
        <w:pStyle w:val="EndnoteText"/>
        <w:spacing w:line="240"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4"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July 12, 2018.</w:t>
      </w:r>
    </w:p>
  </w:endnote>
  <w:endnote w:id="17">
    <w:p w14:paraId="31638077" w14:textId="77777777" w:rsidR="00377B4F" w:rsidRPr="001E1FB1" w:rsidRDefault="00377B4F" w:rsidP="009F2EE3">
      <w:pPr>
        <w:pStyle w:val="EndnoteText"/>
        <w:spacing w:line="240"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5"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July 12, 2018.</w:t>
      </w:r>
    </w:p>
  </w:endnote>
  <w:endnote w:id="18">
    <w:p w14:paraId="0B3245E7" w14:textId="68EC4BB3"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6"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August 17, 2018</w:t>
      </w:r>
    </w:p>
  </w:endnote>
  <w:endnote w:id="19">
    <w:p w14:paraId="22B06AF0" w14:textId="7688FFB5"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Department of Health and Human Services. 2006 Surgeon General’s Report—The Health Consequences of Involuntary Exposure to Tobacco Smoke 2006. </w:t>
      </w:r>
      <w:hyperlink r:id="rId17" w:history="1">
        <w:r w:rsidRPr="001E1FB1">
          <w:rPr>
            <w:rStyle w:val="Hyperlink"/>
            <w:rFonts w:cs="Times New Roman"/>
            <w:sz w:val="18"/>
            <w:szCs w:val="18"/>
            <w:u w:val="none"/>
          </w:rPr>
          <w:t>www.cdc.gov/tobacco/data_statistics/sgr/2006/index.htm</w:t>
        </w:r>
      </w:hyperlink>
      <w:r w:rsidRPr="001E1FB1">
        <w:rPr>
          <w:rFonts w:cs="Times New Roman"/>
          <w:sz w:val="18"/>
          <w:szCs w:val="18"/>
        </w:rPr>
        <w:t xml:space="preserve">. </w:t>
      </w:r>
      <w:hyperlink r:id="rId18" w:history="1">
        <w:r w:rsidRPr="001E1FB1">
          <w:rPr>
            <w:rStyle w:val="Hyperlink"/>
            <w:rFonts w:cs="Times New Roman"/>
            <w:sz w:val="18"/>
            <w:szCs w:val="18"/>
            <w:u w:val="none"/>
          </w:rPr>
          <w:t>www.cdc.gov/tobacco/data_statistics/sgr/2006/index.htm</w:t>
        </w:r>
      </w:hyperlink>
      <w:r w:rsidRPr="001E1FB1">
        <w:rPr>
          <w:rFonts w:cs="Times New Roman"/>
          <w:sz w:val="18"/>
          <w:szCs w:val="18"/>
        </w:rPr>
        <w:t>. Accessed August 17, 2018.</w:t>
      </w:r>
    </w:p>
  </w:endnote>
  <w:endnote w:id="20">
    <w:p w14:paraId="65033F9E" w14:textId="228FDF0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Air Resources Board, California Environmental Protection Agency. Fact Sheet—Environmental Tobacco Smoke: A Toxic Air Contaminant 2006. </w:t>
      </w:r>
      <w:hyperlink r:id="rId19" w:history="1">
        <w:r w:rsidRPr="001E1FB1">
          <w:rPr>
            <w:rStyle w:val="Hyperlink"/>
            <w:rFonts w:cs="Times New Roman"/>
            <w:sz w:val="18"/>
            <w:szCs w:val="18"/>
            <w:u w:val="none"/>
          </w:rPr>
          <w:t>www.arb.ca.gov/toxics/ets/factsheetets.pdf</w:t>
        </w:r>
      </w:hyperlink>
      <w:r w:rsidRPr="001E1FB1">
        <w:rPr>
          <w:rFonts w:cs="Times New Roman"/>
          <w:sz w:val="18"/>
          <w:szCs w:val="18"/>
        </w:rPr>
        <w:t>. Accessed August 17, 2018.</w:t>
      </w:r>
    </w:p>
  </w:endnote>
  <w:endnote w:id="21">
    <w:p w14:paraId="48AC86B6" w14:textId="30DAF22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Identifies Secondhand Smoke as a “Toxic Air Contaminant.” California Environmental Protection Agency, Air Resource Board website. </w:t>
      </w:r>
      <w:hyperlink r:id="rId20" w:history="1">
        <w:r w:rsidRPr="001E1FB1">
          <w:rPr>
            <w:rStyle w:val="Hyperlink"/>
            <w:rFonts w:cs="Times New Roman"/>
            <w:sz w:val="18"/>
            <w:szCs w:val="18"/>
            <w:u w:val="none"/>
          </w:rPr>
          <w:t>www.arb.ca.gov/newsrel/nr012606.htm</w:t>
        </w:r>
      </w:hyperlink>
      <w:r w:rsidRPr="001E1FB1">
        <w:rPr>
          <w:rFonts w:cs="Times New Roman"/>
          <w:sz w:val="18"/>
          <w:szCs w:val="18"/>
        </w:rPr>
        <w:t>. Accessed August 17, 2018.</w:t>
      </w:r>
    </w:p>
  </w:endnote>
  <w:endnote w:id="22">
    <w:p w14:paraId="1DB8C6B1" w14:textId="30A0578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Chemicals known to the state to cause cancer or reproductive toxicity. State of California Environmental Agency Office of Health Hazard Assessment website. </w:t>
      </w:r>
      <w:hyperlink r:id="rId21" w:history="1">
        <w:r w:rsidRPr="001E1FB1">
          <w:rPr>
            <w:rStyle w:val="Hyperlink"/>
            <w:rFonts w:cs="Times New Roman"/>
            <w:sz w:val="18"/>
            <w:szCs w:val="18"/>
            <w:u w:val="none"/>
          </w:rPr>
          <w:t>https://oehha.ca.gov/proposition-65/proposition-65-list</w:t>
        </w:r>
      </w:hyperlink>
      <w:r w:rsidRPr="001E1FB1">
        <w:rPr>
          <w:rFonts w:cs="Times New Roman"/>
          <w:sz w:val="18"/>
          <w:szCs w:val="18"/>
        </w:rPr>
        <w:t>. Accessed August 17, 2018.</w:t>
      </w:r>
    </w:p>
  </w:endnote>
  <w:endnote w:id="23">
    <w:p w14:paraId="54AB2E38" w14:textId="124B3A81"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The American Society of Heating Refrigerating and Air Conditioning Engineers (ASHRAE). ASHRAE Position Document on Environmental Tobacco Smoke. </w:t>
      </w:r>
      <w:hyperlink r:id="rId22" w:history="1">
        <w:r w:rsidRPr="001E1FB1">
          <w:rPr>
            <w:rStyle w:val="Hyperlink"/>
            <w:rFonts w:cs="Times New Roman"/>
            <w:sz w:val="18"/>
            <w:szCs w:val="18"/>
            <w:u w:val="none"/>
          </w:rPr>
          <w:t>www.ashrae.org/File%20Library/About/</w:t>
        </w:r>
        <w:r w:rsidRPr="001E1FB1">
          <w:rPr>
            <w:rStyle w:val="Hyperlink"/>
            <w:rFonts w:cs="Times New Roman"/>
            <w:sz w:val="18"/>
            <w:szCs w:val="18"/>
            <w:u w:val="none"/>
          </w:rPr>
          <w:br/>
          <w:t>Position%20Documents/ASHRAE_PD_Environmental_Tobacco_Smoke_2016.pdf</w:t>
        </w:r>
      </w:hyperlink>
      <w:r w:rsidRPr="001E1FB1">
        <w:rPr>
          <w:rFonts w:cs="Times New Roman"/>
          <w:sz w:val="18"/>
          <w:szCs w:val="18"/>
        </w:rPr>
        <w:t>. Accessed August 17, 2018.</w:t>
      </w:r>
    </w:p>
  </w:endnote>
  <w:endnote w:id="24">
    <w:p w14:paraId="461903D8" w14:textId="1FA914B8"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The American Society of Heating Refrigerating and Air Conditioning Engineers (ASHRAE). Ventilation for Acceptable Indoor Air Quality; ANSI/ASHRAE Standard 62.1-2013; Addenda 2015 Supplement. </w:t>
      </w:r>
      <w:hyperlink r:id="rId23" w:history="1">
        <w:r w:rsidRPr="001E1FB1">
          <w:rPr>
            <w:rStyle w:val="Hyperlink"/>
            <w:rFonts w:cs="Times New Roman"/>
            <w:sz w:val="18"/>
            <w:szCs w:val="18"/>
            <w:u w:val="none"/>
          </w:rPr>
          <w:t>www.tcspartners.org/files.cfm?filesID=58</w:t>
        </w:r>
      </w:hyperlink>
      <w:r w:rsidRPr="001E1FB1">
        <w:rPr>
          <w:rFonts w:cs="Times New Roman"/>
          <w:sz w:val="18"/>
          <w:szCs w:val="18"/>
        </w:rPr>
        <w:t>. Accessed August 17, 2018.</w:t>
      </w:r>
    </w:p>
  </w:endnote>
  <w:endnote w:id="25">
    <w:p w14:paraId="48B545B7" w14:textId="348CAC3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Sureda X, Fernández E, López MJ, Nebot M. Secondhand Tobacco Smoke Exposure in Open and Semi-Open Settings: A Systematic Review. </w:t>
      </w:r>
      <w:r w:rsidRPr="001E1FB1">
        <w:rPr>
          <w:rFonts w:cs="Times New Roman"/>
          <w:i/>
          <w:sz w:val="18"/>
          <w:szCs w:val="18"/>
        </w:rPr>
        <w:t>Environ Health Perspect</w:t>
      </w:r>
      <w:r w:rsidRPr="001E1FB1">
        <w:rPr>
          <w:rFonts w:cs="Times New Roman"/>
          <w:sz w:val="18"/>
          <w:szCs w:val="18"/>
        </w:rPr>
        <w:t>. 2013;121(7):766-773. doi</w:t>
      </w:r>
      <w:r w:rsidRPr="001E1FB1">
        <w:rPr>
          <w:rFonts w:cs="Times New Roman"/>
          <w:color w:val="auto"/>
          <w:sz w:val="18"/>
          <w:szCs w:val="18"/>
        </w:rPr>
        <w:t>:</w:t>
      </w:r>
      <w:r w:rsidRPr="001E1FB1">
        <w:rPr>
          <w:rStyle w:val="Hyperlink"/>
          <w:rFonts w:cs="Times New Roman"/>
          <w:color w:val="auto"/>
          <w:sz w:val="18"/>
          <w:szCs w:val="18"/>
          <w:u w:val="none"/>
        </w:rPr>
        <w:t>10.1289/ehp.1205806</w:t>
      </w:r>
      <w:r w:rsidRPr="001E1FB1">
        <w:rPr>
          <w:rFonts w:cs="Times New Roman"/>
          <w:sz w:val="18"/>
          <w:szCs w:val="18"/>
        </w:rPr>
        <w:t>.</w:t>
      </w:r>
    </w:p>
  </w:endnote>
  <w:endnote w:id="26">
    <w:p w14:paraId="6D406BEC" w14:textId="13B68302"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Licht AS, Hyland A, Travers MJ, Chapman S. Secondhand Smoke Exposure Levels in Outdoor Hospitatlity Venues: A Qualitative and Quantitative Review of the Research Literature. </w:t>
      </w:r>
      <w:r w:rsidRPr="001E1FB1">
        <w:rPr>
          <w:rFonts w:cs="Times New Roman"/>
          <w:i/>
          <w:sz w:val="18"/>
          <w:szCs w:val="18"/>
        </w:rPr>
        <w:t>Tob Control</w:t>
      </w:r>
      <w:r w:rsidRPr="001E1FB1">
        <w:rPr>
          <w:rFonts w:cs="Times New Roman"/>
          <w:sz w:val="18"/>
          <w:szCs w:val="18"/>
        </w:rPr>
        <w:t>. 2013;22(3):172-179. doi:</w:t>
      </w:r>
      <w:hyperlink r:id="rId24" w:tgtFrame="pmc_ext" w:history="1">
        <w:r w:rsidRPr="001E1FB1">
          <w:rPr>
            <w:rStyle w:val="Hyperlink"/>
            <w:rFonts w:cs="Times New Roman"/>
            <w:color w:val="auto"/>
            <w:sz w:val="18"/>
            <w:szCs w:val="18"/>
            <w:u w:val="none"/>
          </w:rPr>
          <w:t>10.1136/tobaccocontrol-2012-050493</w:t>
        </w:r>
      </w:hyperlink>
      <w:r w:rsidRPr="001E1FB1">
        <w:rPr>
          <w:rFonts w:cs="Times New Roman"/>
          <w:color w:val="auto"/>
          <w:sz w:val="18"/>
          <w:szCs w:val="18"/>
        </w:rPr>
        <w:t>.</w:t>
      </w:r>
    </w:p>
  </w:endnote>
  <w:endnote w:id="27">
    <w:p w14:paraId="5B7932E5" w14:textId="5BCCA7D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Klepeis N, Ott W, Switzer P. </w:t>
      </w:r>
      <w:r w:rsidRPr="001E1FB1">
        <w:rPr>
          <w:rFonts w:cs="Times New Roman"/>
          <w:iCs/>
          <w:sz w:val="18"/>
          <w:szCs w:val="18"/>
        </w:rPr>
        <w:t>Real-Time Monitoring of Outdoor Environmental Tobacco Smoke Concentrations: A Pilot Study.</w:t>
      </w:r>
      <w:r w:rsidRPr="001E1FB1">
        <w:rPr>
          <w:rFonts w:cs="Times New Roman"/>
          <w:sz w:val="18"/>
          <w:szCs w:val="18"/>
        </w:rPr>
        <w:t xml:space="preserve"> </w:t>
      </w:r>
      <w:hyperlink r:id="rId25" w:history="1">
        <w:r w:rsidRPr="001E1FB1">
          <w:rPr>
            <w:rStyle w:val="Hyperlink"/>
            <w:rFonts w:cs="Times New Roman"/>
            <w:sz w:val="18"/>
            <w:szCs w:val="18"/>
            <w:u w:val="none"/>
          </w:rPr>
          <w:t>http://exposurescience.org/pub/reports/Outdoor_ETS_Final.pdf</w:t>
        </w:r>
      </w:hyperlink>
      <w:r w:rsidRPr="001E1FB1">
        <w:rPr>
          <w:rFonts w:cs="Times New Roman"/>
          <w:sz w:val="18"/>
          <w:szCs w:val="18"/>
        </w:rPr>
        <w:t>.</w:t>
      </w:r>
      <w:r w:rsidRPr="001E1FB1">
        <w:rPr>
          <w:rFonts w:cs="Times New Roman"/>
          <w:i/>
          <w:sz w:val="18"/>
          <w:szCs w:val="18"/>
        </w:rPr>
        <w:t xml:space="preserve"> </w:t>
      </w:r>
      <w:r w:rsidRPr="001E1FB1">
        <w:rPr>
          <w:rFonts w:cs="Times New Roman"/>
          <w:sz w:val="18"/>
          <w:szCs w:val="18"/>
        </w:rPr>
        <w:t>Accessed August 17, 2018.</w:t>
      </w:r>
    </w:p>
  </w:endnote>
  <w:endnote w:id="28">
    <w:p w14:paraId="53A2664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Klepeis NE, Ott WR, Switzer P. Real-time measurement of outdoor tobacco smoke particles. </w:t>
      </w:r>
      <w:r w:rsidRPr="001E1FB1">
        <w:rPr>
          <w:rFonts w:cs="Times New Roman"/>
          <w:i/>
          <w:iCs/>
          <w:sz w:val="18"/>
          <w:szCs w:val="18"/>
        </w:rPr>
        <w:t>J Air Waste Manag Assoc</w:t>
      </w:r>
      <w:r w:rsidRPr="001E1FB1">
        <w:rPr>
          <w:rFonts w:cs="Times New Roman"/>
          <w:sz w:val="18"/>
          <w:szCs w:val="18"/>
        </w:rPr>
        <w:t>. 2007;57(5):522–534. doi:10.3155/1047-3289.57.5.522.</w:t>
      </w:r>
    </w:p>
  </w:endnote>
  <w:endnote w:id="29">
    <w:p w14:paraId="183A07D6"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Klepeis NE, Ott WR, Switzer P. Real-time measurement of outdoor tobacco smoke particles. </w:t>
      </w:r>
      <w:r w:rsidRPr="001E1FB1">
        <w:rPr>
          <w:rFonts w:cs="Times New Roman"/>
          <w:i/>
          <w:iCs/>
          <w:sz w:val="18"/>
          <w:szCs w:val="18"/>
        </w:rPr>
        <w:t>J Air Waste Manag Assoc</w:t>
      </w:r>
      <w:r w:rsidRPr="001E1FB1">
        <w:rPr>
          <w:rFonts w:cs="Times New Roman"/>
          <w:sz w:val="18"/>
          <w:szCs w:val="18"/>
        </w:rPr>
        <w:t>. 2007;57(5):522–534. doi:10.3155/1047-3289.57.5.522.</w:t>
      </w:r>
    </w:p>
  </w:endnote>
  <w:endnote w:id="30">
    <w:p w14:paraId="054B5B0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Klepeis NE, Ott WR, Switzer P. Real-time measurement of outdoor tobacco smoke particles. </w:t>
      </w:r>
      <w:r w:rsidRPr="001E1FB1">
        <w:rPr>
          <w:rFonts w:cs="Times New Roman"/>
          <w:i/>
          <w:iCs/>
          <w:sz w:val="18"/>
          <w:szCs w:val="18"/>
        </w:rPr>
        <w:t>J Air Waste Manag Assoc</w:t>
      </w:r>
      <w:r w:rsidRPr="001E1FB1">
        <w:rPr>
          <w:rFonts w:cs="Times New Roman"/>
          <w:sz w:val="18"/>
          <w:szCs w:val="18"/>
        </w:rPr>
        <w:t>. 2007;57(5):522–534. doi:10.3155/1047-3289.57.5.522.</w:t>
      </w:r>
    </w:p>
  </w:endnote>
  <w:endnote w:id="31">
    <w:p w14:paraId="36EF3365" w14:textId="40E79C2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Repace J. Benefits of Smokefree Regulations in Outdoor Settings: Beaches, Golf Courses, Parks, Patios, and in Motor Vehicles. </w:t>
      </w:r>
      <w:r w:rsidRPr="001E1FB1">
        <w:rPr>
          <w:rFonts w:cs="Times New Roman"/>
          <w:i/>
          <w:iCs/>
          <w:sz w:val="18"/>
          <w:szCs w:val="18"/>
        </w:rPr>
        <w:t>William Mitchell Law Rev</w:t>
      </w:r>
      <w:r w:rsidRPr="001E1FB1">
        <w:rPr>
          <w:rFonts w:cs="Times New Roman"/>
          <w:sz w:val="18"/>
          <w:szCs w:val="18"/>
        </w:rPr>
        <w:t xml:space="preserve">. 2008;34(4):1621–1638. </w:t>
      </w:r>
      <w:hyperlink r:id="rId26" w:history="1">
        <w:r w:rsidRPr="001E1FB1">
          <w:rPr>
            <w:rStyle w:val="Hyperlink"/>
            <w:rFonts w:cs="Times New Roman"/>
            <w:sz w:val="18"/>
            <w:szCs w:val="18"/>
            <w:u w:val="none"/>
          </w:rPr>
          <w:t>www.repace.com/pdf/Repace_Ch_15_Outdoor_Smoke.pdf</w:t>
        </w:r>
      </w:hyperlink>
      <w:r w:rsidRPr="001E1FB1">
        <w:rPr>
          <w:rFonts w:cs="Times New Roman"/>
          <w:sz w:val="18"/>
          <w:szCs w:val="18"/>
        </w:rPr>
        <w:t>.</w:t>
      </w:r>
      <w:r w:rsidRPr="001E1FB1">
        <w:rPr>
          <w:rFonts w:cs="Times New Roman"/>
          <w:i/>
          <w:sz w:val="18"/>
          <w:szCs w:val="18"/>
        </w:rPr>
        <w:t xml:space="preserve"> </w:t>
      </w:r>
      <w:r w:rsidRPr="001E1FB1">
        <w:rPr>
          <w:rFonts w:cs="Times New Roman"/>
          <w:sz w:val="18"/>
          <w:szCs w:val="18"/>
        </w:rPr>
        <w:t>Accessed August 17, 2018.</w:t>
      </w:r>
    </w:p>
  </w:endnote>
  <w:endnote w:id="32">
    <w:p w14:paraId="1193711A"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Hwang J, Lee K. Determination of Outdoor Tobacco Smoke Exposure by Distance from a Smoking Source. </w:t>
      </w:r>
      <w:r w:rsidRPr="001E1FB1">
        <w:rPr>
          <w:rFonts w:cs="Times New Roman"/>
          <w:i/>
          <w:sz w:val="18"/>
          <w:szCs w:val="18"/>
        </w:rPr>
        <w:t>Nicotine Tob Res</w:t>
      </w:r>
      <w:r w:rsidRPr="001E1FB1">
        <w:rPr>
          <w:rFonts w:cs="Times New Roman"/>
          <w:sz w:val="18"/>
          <w:szCs w:val="18"/>
        </w:rPr>
        <w:t>. 2014;16(4):478-484. doi:10.1093/ntr/ntt178.</w:t>
      </w:r>
    </w:p>
  </w:endnote>
  <w:endnote w:id="33">
    <w:p w14:paraId="6066A9E4" w14:textId="554F9AD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Factsheet: The Health Consequences of Smoking—50 Years of Progress: A Report of the Surgeon General. U.S. Department of Health and Human Services. www.surgeongeneral.gov/library/reports/50-years-of-progress/fact-sheet.html. Accessed August 17, 2018.</w:t>
      </w:r>
    </w:p>
  </w:endnote>
  <w:endnote w:id="34">
    <w:p w14:paraId="5D90798D" w14:textId="55FA442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Secondhand Smoke (SHS) Facts. Centers for Disease Control and Prevention. </w:t>
      </w:r>
      <w:hyperlink r:id="rId27" w:history="1">
        <w:r w:rsidR="009F2EE3" w:rsidRPr="001E1FB1">
          <w:rPr>
            <w:rStyle w:val="Hyperlink"/>
            <w:rFonts w:cs="Times New Roman"/>
            <w:sz w:val="18"/>
            <w:szCs w:val="18"/>
            <w:u w:val="none"/>
          </w:rPr>
          <w:t>www.cdc.gov/tobacco/data_statistics/</w:t>
        </w:r>
        <w:r w:rsidR="009F2EE3" w:rsidRPr="001E1FB1">
          <w:rPr>
            <w:rStyle w:val="Hyperlink"/>
            <w:rFonts w:cs="Times New Roman"/>
            <w:sz w:val="18"/>
            <w:szCs w:val="18"/>
            <w:u w:val="none"/>
          </w:rPr>
          <w:br/>
          <w:t>fact_sheets/secondhand_smoke/general_facts/index.htm</w:t>
        </w:r>
      </w:hyperlink>
      <w:r w:rsidRPr="001E1FB1">
        <w:rPr>
          <w:rFonts w:cs="Times New Roman"/>
          <w:sz w:val="18"/>
          <w:szCs w:val="18"/>
        </w:rPr>
        <w:t>. Accessed August 17, 2018.</w:t>
      </w:r>
    </w:p>
  </w:endnote>
  <w:endnote w:id="35">
    <w:p w14:paraId="0A93FB61" w14:textId="4A5F7B8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Institute of Medicine (US) Committee on Secondhand Smoke Exposure and Acute Coronary Events. Secondhand Smoke Exposure and Cardiovascular Effects: Making Sense of the Evidence. Washington (DC): National Academies Press (US); 2010. Available from: https://www.ncbi.nlm.nih.gov/books/NBK219565/ doi: 10.17226/12649. Accessed August 17, 2018.</w:t>
      </w:r>
    </w:p>
  </w:endnote>
  <w:endnote w:id="36">
    <w:p w14:paraId="6A1F73F4" w14:textId="08BA917C"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w:t>
      </w:r>
      <w:r w:rsidRPr="001E1FB1">
        <w:rPr>
          <w:rFonts w:cs="Times New Roman"/>
          <w:iCs/>
          <w:sz w:val="18"/>
          <w:szCs w:val="18"/>
        </w:rPr>
        <w:t>The Health Consequences of Smoking — 50 Years of Progress: A Report of the Surgeon General Executive Summary</w:t>
      </w:r>
      <w:r w:rsidRPr="001E1FB1">
        <w:rPr>
          <w:rFonts w:cs="Times New Roman"/>
          <w:sz w:val="18"/>
          <w:szCs w:val="18"/>
        </w:rPr>
        <w:t>. U.S. Department of Health and Human Services</w:t>
      </w:r>
      <w:r w:rsidRPr="001E1FB1">
        <w:rPr>
          <w:rFonts w:cs="Times New Roman"/>
          <w:i/>
          <w:sz w:val="18"/>
          <w:szCs w:val="18"/>
        </w:rPr>
        <w:t xml:space="preserve">. </w:t>
      </w:r>
      <w:hyperlink r:id="rId28" w:history="1">
        <w:r w:rsidRPr="001E1FB1">
          <w:rPr>
            <w:rStyle w:val="Hyperlink"/>
            <w:rFonts w:cs="Times New Roman"/>
            <w:sz w:val="18"/>
            <w:szCs w:val="18"/>
            <w:u w:val="none"/>
          </w:rPr>
          <w:t>www.surgeongeneral.gov/library/reports/50-years-of-progress/exec-summary.pdf</w:t>
        </w:r>
      </w:hyperlink>
      <w:r w:rsidRPr="001E1FB1">
        <w:rPr>
          <w:rFonts w:cs="Times New Roman"/>
          <w:sz w:val="18"/>
          <w:szCs w:val="18"/>
        </w:rPr>
        <w:t>.</w:t>
      </w:r>
      <w:r w:rsidRPr="001E1FB1">
        <w:rPr>
          <w:rFonts w:cs="Times New Roman"/>
          <w:i/>
          <w:sz w:val="18"/>
          <w:szCs w:val="18"/>
        </w:rPr>
        <w:t xml:space="preserve"> </w:t>
      </w:r>
      <w:r w:rsidRPr="001E1FB1">
        <w:rPr>
          <w:rFonts w:cs="Times New Roman"/>
          <w:sz w:val="18"/>
          <w:szCs w:val="18"/>
        </w:rPr>
        <w:t>Accessed August 17, 2018.Accessed August 17, 2018.</w:t>
      </w:r>
    </w:p>
  </w:endnote>
  <w:endnote w:id="37">
    <w:p w14:paraId="53B04EED" w14:textId="3810DFBC"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Centers for Disease Control and Prevention (CDC). CDC Vital Signs—Secondhand Smoke: An Unequal Danger 2015. </w:t>
      </w:r>
      <w:hyperlink r:id="rId29" w:history="1">
        <w:r w:rsidRPr="001E1FB1">
          <w:rPr>
            <w:rStyle w:val="Hyperlink"/>
            <w:rFonts w:cs="Times New Roman"/>
            <w:sz w:val="18"/>
            <w:szCs w:val="18"/>
            <w:u w:val="none"/>
          </w:rPr>
          <w:t>www.cdc.gov/vitalsigns/pdf/2015-02-vitalsigns.pdf</w:t>
        </w:r>
      </w:hyperlink>
      <w:r w:rsidRPr="001E1FB1">
        <w:rPr>
          <w:rFonts w:cs="Times New Roman"/>
          <w:sz w:val="18"/>
          <w:szCs w:val="18"/>
        </w:rPr>
        <w:t>. Accessed August 17, 2018.</w:t>
      </w:r>
    </w:p>
  </w:endnote>
  <w:endnote w:id="38">
    <w:p w14:paraId="2DD0BA88" w14:textId="3FBB73B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Chemicals known to the state to cause cancer or reproductive toxicity. State of California Environmental Agency Office of Health Hazard Assessment website. </w:t>
      </w:r>
      <w:hyperlink r:id="rId30" w:history="1">
        <w:r w:rsidRPr="001E1FB1">
          <w:rPr>
            <w:rStyle w:val="Hyperlink"/>
            <w:rFonts w:cs="Times New Roman"/>
            <w:sz w:val="18"/>
            <w:szCs w:val="18"/>
            <w:u w:val="none"/>
          </w:rPr>
          <w:t>https://oehha.ca.gov/proposition-65/proposition-65-list</w:t>
        </w:r>
      </w:hyperlink>
      <w:r w:rsidRPr="001E1FB1">
        <w:rPr>
          <w:rFonts w:cs="Times New Roman"/>
          <w:sz w:val="18"/>
          <w:szCs w:val="18"/>
        </w:rPr>
        <w:t>. Accessed August 17, 2018.</w:t>
      </w:r>
    </w:p>
  </w:endnote>
  <w:endnote w:id="39">
    <w:p w14:paraId="3BB244BD" w14:textId="57EA7DF5" w:rsidR="00377B4F" w:rsidRPr="001E1FB1" w:rsidRDefault="001E1FB1" w:rsidP="00297576">
      <w:pPr>
        <w:pStyle w:val="EndnoteText"/>
        <w:spacing w:line="276" w:lineRule="auto"/>
        <w:rPr>
          <w:rFonts w:cs="Times New Roman"/>
          <w:sz w:val="18"/>
          <w:szCs w:val="18"/>
        </w:rPr>
      </w:pPr>
      <w:r w:rsidRPr="001E1FB1">
        <w:rPr>
          <w:rFonts w:cs="Times New Roman"/>
          <w:sz w:val="18"/>
          <w:szCs w:val="18"/>
        </w:rPr>
        <w:br/>
      </w:r>
      <w:r w:rsidRPr="001E1FB1">
        <w:rPr>
          <w:rFonts w:cs="Times New Roman"/>
          <w:sz w:val="18"/>
          <w:szCs w:val="18"/>
        </w:rPr>
        <w:br/>
      </w:r>
      <w:r w:rsidRPr="001E1FB1">
        <w:rPr>
          <w:rFonts w:cs="Times New Roman"/>
          <w:sz w:val="18"/>
          <w:szCs w:val="18"/>
        </w:rPr>
        <w:br/>
      </w:r>
      <w:r w:rsidR="00377B4F" w:rsidRPr="001E1FB1">
        <w:rPr>
          <w:rStyle w:val="EndnoteReference"/>
          <w:rFonts w:cs="Times New Roman"/>
          <w:szCs w:val="18"/>
        </w:rPr>
        <w:endnoteRef/>
      </w:r>
      <w:r w:rsidR="00377B4F" w:rsidRPr="001E1FB1">
        <w:rPr>
          <w:rFonts w:cs="Times New Roman"/>
          <w:sz w:val="18"/>
          <w:szCs w:val="18"/>
        </w:rPr>
        <w:t xml:space="preserve"> California Department of Public Health, California Tobacco Control Program. </w:t>
      </w:r>
      <w:r w:rsidR="00377B4F" w:rsidRPr="001E1FB1">
        <w:rPr>
          <w:rFonts w:cs="Times New Roman"/>
          <w:iCs/>
          <w:sz w:val="18"/>
          <w:szCs w:val="18"/>
        </w:rPr>
        <w:t>State Health Officer’s Report on E-Cigarettes: A Community Health Threat</w:t>
      </w:r>
      <w:r w:rsidR="00377B4F" w:rsidRPr="001E1FB1">
        <w:rPr>
          <w:rFonts w:cs="Times New Roman"/>
          <w:sz w:val="18"/>
          <w:szCs w:val="18"/>
        </w:rPr>
        <w:t xml:space="preserve">. </w:t>
      </w:r>
      <w:hyperlink r:id="rId31" w:history="1">
        <w:r w:rsidR="00297576" w:rsidRPr="001E1FB1">
          <w:rPr>
            <w:rStyle w:val="Hyperlink"/>
            <w:rFonts w:cs="Times New Roman"/>
            <w:sz w:val="18"/>
            <w:szCs w:val="18"/>
            <w:u w:val="none"/>
          </w:rPr>
          <w:t>www.cdph.ca.gov/Programs/CCDPHP/DCDIC/CTCB</w:t>
        </w:r>
        <w:r w:rsidR="00297576" w:rsidRPr="001E1FB1">
          <w:rPr>
            <w:rStyle w:val="Hyperlink"/>
            <w:rFonts w:cs="Times New Roman"/>
            <w:sz w:val="18"/>
            <w:szCs w:val="18"/>
            <w:u w:val="none"/>
          </w:rPr>
          <w:br/>
          <w:t>/CDPH%20Document%20Library/Policy/ElectronicSmokingDevices/StateHealthEcigReport.pdf</w:t>
        </w:r>
      </w:hyperlink>
      <w:r w:rsidR="00377B4F" w:rsidRPr="001E1FB1">
        <w:rPr>
          <w:rFonts w:cs="Times New Roman"/>
          <w:sz w:val="18"/>
          <w:szCs w:val="18"/>
        </w:rPr>
        <w:t>. Accessed August 17, 2018.</w:t>
      </w:r>
    </w:p>
  </w:endnote>
  <w:endnote w:id="40">
    <w:p w14:paraId="3BCE6AB1" w14:textId="1D49F2B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2" w:history="1">
        <w:r w:rsidR="001E1FB1" w:rsidRPr="001E1FB1">
          <w:rPr>
            <w:rStyle w:val="Hyperlink"/>
            <w:rFonts w:cs="Times New Roman"/>
            <w:sz w:val="18"/>
            <w:szCs w:val="18"/>
            <w:u w:val="none"/>
          </w:rPr>
          <w:t>https://e-cigarettes.surgeongeneral.gov/documents/</w:t>
        </w:r>
        <w:r w:rsidR="001E1FB1"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41">
    <w:p w14:paraId="78DFD121" w14:textId="00621E1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Grana R, Benowitz N, Glantz S. </w:t>
      </w:r>
      <w:r w:rsidRPr="001E1FB1">
        <w:rPr>
          <w:rFonts w:cs="Times New Roman"/>
          <w:iCs/>
          <w:sz w:val="18"/>
          <w:szCs w:val="18"/>
        </w:rPr>
        <w:t>Background Paper on E-cigarettes (Electronic Nicotine Delivery Systems)</w:t>
      </w:r>
      <w:r w:rsidRPr="001E1FB1">
        <w:rPr>
          <w:rFonts w:cs="Times New Roman"/>
          <w:sz w:val="18"/>
          <w:szCs w:val="18"/>
        </w:rPr>
        <w:t xml:space="preserve">; 2013. </w:t>
      </w:r>
      <w:r w:rsidRPr="001E1FB1">
        <w:rPr>
          <w:rFonts w:cs="Times New Roman"/>
          <w:i/>
          <w:sz w:val="18"/>
          <w:szCs w:val="18"/>
        </w:rPr>
        <w:t xml:space="preserve">UCSF: Center for Tobacco Control Research and Education. </w:t>
      </w:r>
      <w:hyperlink r:id="rId33" w:history="1">
        <w:r w:rsidRPr="001E1FB1">
          <w:rPr>
            <w:rStyle w:val="Hyperlink"/>
            <w:rFonts w:cs="Times New Roman"/>
            <w:sz w:val="18"/>
            <w:szCs w:val="18"/>
            <w:u w:val="none"/>
          </w:rPr>
          <w:t>http://escholarship.org/uc/item/13p2b72n</w:t>
        </w:r>
      </w:hyperlink>
      <w:r w:rsidRPr="001E1FB1">
        <w:rPr>
          <w:rFonts w:cs="Times New Roman"/>
          <w:sz w:val="18"/>
          <w:szCs w:val="18"/>
        </w:rPr>
        <w:t>. Accessed June 18, 2018</w:t>
      </w:r>
    </w:p>
  </w:endnote>
  <w:endnote w:id="42">
    <w:p w14:paraId="3D66CE1C"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Williams M, Villarreal A, Bozhilov K, Lin S, Talbot P. Metal and silicate particles including nanoparticles are present in electronic cigarette cartomizer fluid and aerosol. </w:t>
      </w:r>
      <w:r w:rsidRPr="001E1FB1">
        <w:rPr>
          <w:rFonts w:cs="Times New Roman"/>
          <w:i/>
          <w:iCs/>
          <w:sz w:val="18"/>
          <w:szCs w:val="18"/>
        </w:rPr>
        <w:t>PLoS One</w:t>
      </w:r>
      <w:r w:rsidRPr="001E1FB1">
        <w:rPr>
          <w:rFonts w:cs="Times New Roman"/>
          <w:sz w:val="18"/>
          <w:szCs w:val="18"/>
        </w:rPr>
        <w:t>. 2013;8(3):e57987. doi:10.1371/journal.pone.0057987.</w:t>
      </w:r>
    </w:p>
  </w:endnote>
  <w:endnote w:id="43">
    <w:p w14:paraId="2BFDCA09" w14:textId="44FFF052"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Schaller K, Ruppert L, Kahnert S, Bethke C, Nair U, Pötschke-Langer M. Electronic Cigarettes—An Overview. Heidelberg, Germany: German Cancer Research Center; 2013. </w:t>
      </w:r>
      <w:hyperlink r:id="rId34" w:history="1">
        <w:r w:rsidRPr="001E1FB1">
          <w:rPr>
            <w:rStyle w:val="Hyperlink"/>
            <w:rFonts w:cs="Times New Roman"/>
            <w:sz w:val="18"/>
            <w:szCs w:val="18"/>
            <w:u w:val="none"/>
          </w:rPr>
          <w:t>www.dkfz.de/de/tabakkontrolle/download/Publikationen/</w:t>
        </w:r>
        <w:r w:rsidRPr="001E1FB1">
          <w:rPr>
            <w:rStyle w:val="Hyperlink"/>
            <w:rFonts w:cs="Times New Roman"/>
            <w:sz w:val="18"/>
            <w:szCs w:val="18"/>
            <w:u w:val="none"/>
          </w:rPr>
          <w:br/>
          <w:t>RoteReihe/Band_19_e-cigarettes_an_overview.pdf</w:t>
        </w:r>
      </w:hyperlink>
      <w:r w:rsidRPr="001E1FB1">
        <w:rPr>
          <w:rFonts w:cs="Times New Roman"/>
          <w:sz w:val="18"/>
          <w:szCs w:val="18"/>
        </w:rPr>
        <w:t>. Accessed June 18, 2018.</w:t>
      </w:r>
    </w:p>
  </w:endnote>
  <w:endnote w:id="44">
    <w:p w14:paraId="423C8825"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Goniewicz ML, Knysak J, Gawron M, et al. Levels of selected carcinogens and toxicants in vapour from electronic cigarettes. </w:t>
      </w:r>
      <w:r w:rsidRPr="001E1FB1">
        <w:rPr>
          <w:rFonts w:cs="Times New Roman"/>
          <w:i/>
          <w:iCs/>
          <w:sz w:val="18"/>
          <w:szCs w:val="18"/>
        </w:rPr>
        <w:t>Tob Control</w:t>
      </w:r>
      <w:r w:rsidRPr="001E1FB1">
        <w:rPr>
          <w:rFonts w:cs="Times New Roman"/>
          <w:sz w:val="18"/>
          <w:szCs w:val="18"/>
        </w:rPr>
        <w:t>. 2013;1:1–8. doi:10.1136/tobaccocontrol-2012-050859.</w:t>
      </w:r>
    </w:p>
  </w:endnote>
  <w:endnote w:id="45">
    <w:p w14:paraId="273FDB38"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Schripp T, Markewitz D, Uhde E, Salthammer T. Does e-cigarette consumption cause passive vaping? </w:t>
      </w:r>
      <w:r w:rsidRPr="001E1FB1">
        <w:rPr>
          <w:rFonts w:cs="Times New Roman"/>
          <w:i/>
          <w:iCs/>
          <w:sz w:val="18"/>
          <w:szCs w:val="18"/>
        </w:rPr>
        <w:t>Indoor Air</w:t>
      </w:r>
      <w:r w:rsidRPr="001E1FB1">
        <w:rPr>
          <w:rFonts w:cs="Times New Roman"/>
          <w:sz w:val="18"/>
          <w:szCs w:val="18"/>
        </w:rPr>
        <w:t>. 2013;23(1):25–31. doi:10.1111/j.1600-0668.2012.00792.x.</w:t>
      </w:r>
    </w:p>
  </w:endnote>
  <w:endnote w:id="46">
    <w:p w14:paraId="715BD211" w14:textId="0CEE44B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5" w:history="1">
        <w:r w:rsidRPr="001E1FB1">
          <w:rPr>
            <w:rStyle w:val="Hyperlink"/>
            <w:rFonts w:cs="Times New Roman"/>
            <w:sz w:val="18"/>
            <w:szCs w:val="18"/>
            <w:u w:val="none"/>
          </w:rPr>
          <w:t>https://e-cigarettes.surgeongeneral.gov/documents/</w:t>
        </w:r>
        <w:r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47">
    <w:p w14:paraId="6A96C3B8"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Zhang G, Wang Z, Zhang K, et al. Safety Assessment of Electronic Cigarettes and Their Relationship with Cardiovascular Disease. </w:t>
      </w:r>
      <w:r w:rsidRPr="001E1FB1">
        <w:rPr>
          <w:rFonts w:cs="Times New Roman"/>
          <w:i/>
          <w:iCs/>
          <w:sz w:val="18"/>
          <w:szCs w:val="18"/>
        </w:rPr>
        <w:t>International Journal of Environmental Research and Public Health</w:t>
      </w:r>
      <w:r w:rsidRPr="001E1FB1">
        <w:rPr>
          <w:rFonts w:cs="Times New Roman"/>
          <w:sz w:val="18"/>
          <w:szCs w:val="18"/>
        </w:rPr>
        <w:t>. 2018;15(1):75. doi:10.3390/ijerph15010075.</w:t>
      </w:r>
    </w:p>
  </w:endnote>
  <w:endnote w:id="48">
    <w:p w14:paraId="34DF594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Staudt MR, Salit J, Kaner RJ, Hollmann C, Crystal RG. Altered lung biology of healthy never smokers following acute inhalation of E-cigarettes. </w:t>
      </w:r>
      <w:r w:rsidRPr="001E1FB1">
        <w:rPr>
          <w:rFonts w:cs="Times New Roman"/>
          <w:i/>
          <w:iCs/>
          <w:sz w:val="18"/>
          <w:szCs w:val="18"/>
        </w:rPr>
        <w:t>Respiratory Research</w:t>
      </w:r>
      <w:r w:rsidRPr="001E1FB1">
        <w:rPr>
          <w:rFonts w:cs="Times New Roman"/>
          <w:sz w:val="18"/>
          <w:szCs w:val="18"/>
        </w:rPr>
        <w:t>. 2018;19:78. doi:10.1186/s12931-018-0778-z.</w:t>
      </w:r>
    </w:p>
  </w:endnote>
  <w:endnote w:id="49">
    <w:p w14:paraId="77703CFF"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Tzortzi A, Teloniatis SI, Matiampa G. et al. Passive exposure to e-cigarette emissions: Immediate respiratory effects. </w:t>
      </w:r>
      <w:r w:rsidRPr="001E1FB1">
        <w:rPr>
          <w:rFonts w:cs="Times New Roman"/>
          <w:i/>
          <w:sz w:val="18"/>
          <w:szCs w:val="18"/>
        </w:rPr>
        <w:t>Tob. Prev. Cessation</w:t>
      </w:r>
      <w:r w:rsidRPr="001E1FB1">
        <w:rPr>
          <w:rFonts w:cs="Times New Roman"/>
          <w:sz w:val="18"/>
          <w:szCs w:val="18"/>
        </w:rPr>
        <w:t>. 2018;4(May):18. doi.org/10.18332/tpc/89977.</w:t>
      </w:r>
    </w:p>
  </w:endnote>
  <w:endnote w:id="50">
    <w:p w14:paraId="27E104CA"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Behar RZ, Luo W, McWhirther KJ, Pankow JF, Talbot P. Analytical and toxicological evaluation of flavor chemicals in electronic cigarette refill fluids. </w:t>
      </w:r>
      <w:r w:rsidRPr="001E1FB1">
        <w:rPr>
          <w:rFonts w:cs="Times New Roman"/>
          <w:i/>
          <w:sz w:val="18"/>
          <w:szCs w:val="18"/>
        </w:rPr>
        <w:t>Scientific Reports.</w:t>
      </w:r>
      <w:r w:rsidRPr="001E1FB1">
        <w:rPr>
          <w:rFonts w:cs="Times New Roman"/>
          <w:sz w:val="18"/>
          <w:szCs w:val="18"/>
        </w:rPr>
        <w:t xml:space="preserve"> 2018; 8(1):8288. doi.org/10.1038/s41598-018-25575–6.</w:t>
      </w:r>
    </w:p>
  </w:endnote>
  <w:endnote w:id="51">
    <w:p w14:paraId="7E81807C" w14:textId="31B25CDC"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Shields PG, Berman M, Brasky TM, et al. A Review of Pulmonary Toxicity of Electronic Cigarettes In The Context of Smoking: A Focus On Inflammation. </w:t>
      </w:r>
      <w:r w:rsidRPr="001E1FB1">
        <w:rPr>
          <w:rFonts w:cs="Times New Roman"/>
          <w:i/>
          <w:iCs/>
          <w:sz w:val="18"/>
          <w:szCs w:val="18"/>
        </w:rPr>
        <w:t>Cancer epidemiology, biomarkers &amp; prevention: a publication of the American Association for Cancer Research, cosponsored by the American Society of Preventive Oncology</w:t>
      </w:r>
      <w:r w:rsidRPr="001E1FB1">
        <w:rPr>
          <w:rFonts w:cs="Times New Roman"/>
          <w:sz w:val="18"/>
          <w:szCs w:val="18"/>
        </w:rPr>
        <w:t>. 2017;26(8):1175-1191. doi:10.1158/1055-9965.EPI-17-0358.</w:t>
      </w:r>
    </w:p>
  </w:endnote>
  <w:endnote w:id="52">
    <w:p w14:paraId="492B23B6"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Chun LF, Moazed F, Calfee CS, Matthay MA, Gotts JE. Pulmonary toxicity of e-cigarettes. </w:t>
      </w:r>
      <w:r w:rsidRPr="001E1FB1">
        <w:rPr>
          <w:rFonts w:cs="Times New Roman"/>
          <w:i/>
          <w:iCs/>
          <w:sz w:val="18"/>
          <w:szCs w:val="18"/>
        </w:rPr>
        <w:t>American Journal of Physiology - Lung Cellular and Molecular Physiology</w:t>
      </w:r>
      <w:r w:rsidRPr="001E1FB1">
        <w:rPr>
          <w:rFonts w:cs="Times New Roman"/>
          <w:sz w:val="18"/>
          <w:szCs w:val="18"/>
        </w:rPr>
        <w:t>. 2017;313(2):L193-L206. doi:10.1152/ajplung.00071.2017.</w:t>
      </w:r>
    </w:p>
  </w:endnote>
  <w:endnote w:id="53">
    <w:p w14:paraId="1705D0F7" w14:textId="4692C98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6" w:history="1">
        <w:r w:rsidRPr="001E1FB1">
          <w:rPr>
            <w:rStyle w:val="Hyperlink"/>
            <w:rFonts w:cs="Times New Roman"/>
            <w:sz w:val="18"/>
            <w:szCs w:val="18"/>
            <w:u w:val="none"/>
          </w:rPr>
          <w:t>https://e-cigarettes.surgeongeneral.gov/documents/</w:t>
        </w:r>
        <w:r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54">
    <w:p w14:paraId="552E5105" w14:textId="699A31E1"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Schaller K, Ruppert L, Kahnert S, Bethke C, Nair U, Pötschke-Langer M. Electronic Cigarettes—An Overview. Heidelberg, Germany: German Cancer Research Center; 2013. </w:t>
      </w:r>
      <w:hyperlink r:id="rId37" w:history="1">
        <w:r w:rsidRPr="001E1FB1">
          <w:rPr>
            <w:rStyle w:val="Hyperlink"/>
            <w:rFonts w:cs="Times New Roman"/>
            <w:sz w:val="18"/>
            <w:szCs w:val="18"/>
            <w:u w:val="none"/>
          </w:rPr>
          <w:t>www.dkfz.de/de/tabakkontrolle/download/Publikationen/</w:t>
        </w:r>
        <w:r w:rsidRPr="001E1FB1">
          <w:rPr>
            <w:rStyle w:val="Hyperlink"/>
            <w:rFonts w:cs="Times New Roman"/>
            <w:sz w:val="18"/>
            <w:szCs w:val="18"/>
            <w:u w:val="none"/>
          </w:rPr>
          <w:br/>
          <w:t>RoteReihe/Band_19_e-cigarettes_an_overview.pdf</w:t>
        </w:r>
      </w:hyperlink>
      <w:r w:rsidRPr="001E1FB1">
        <w:rPr>
          <w:rFonts w:cs="Times New Roman"/>
          <w:sz w:val="18"/>
          <w:szCs w:val="18"/>
        </w:rPr>
        <w:t>. Accessed June 18, 2018.</w:t>
      </w:r>
    </w:p>
  </w:endnote>
  <w:endnote w:id="55">
    <w:p w14:paraId="6CE71CFB"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Schripp T, Markewitz D, Uhde E, Salthammer T. Does e-cigarette consumption cause passive vaping? </w:t>
      </w:r>
      <w:r w:rsidRPr="001E1FB1">
        <w:rPr>
          <w:rFonts w:cs="Times New Roman"/>
          <w:i/>
          <w:iCs/>
          <w:sz w:val="18"/>
          <w:szCs w:val="18"/>
        </w:rPr>
        <w:t>Indoor Air</w:t>
      </w:r>
      <w:r w:rsidRPr="001E1FB1">
        <w:rPr>
          <w:rFonts w:cs="Times New Roman"/>
          <w:sz w:val="18"/>
          <w:szCs w:val="18"/>
        </w:rPr>
        <w:t>. 2013;23(1):25–31. doi:10.1111/j.1600-0668.2012.00792.x.</w:t>
      </w:r>
    </w:p>
  </w:endnote>
  <w:endnote w:id="56">
    <w:p w14:paraId="794FC629"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Schober W, Szendrei K, Matzen W, et al. Use of electronic cigarettes (e-cigarettes) impairs indoor air quality and increases FeNO levels of e-cigarette consumers. </w:t>
      </w:r>
      <w:r w:rsidRPr="001E1FB1">
        <w:rPr>
          <w:rFonts w:cs="Times New Roman"/>
          <w:i/>
          <w:iCs/>
          <w:sz w:val="18"/>
          <w:szCs w:val="18"/>
        </w:rPr>
        <w:t>Int J Hyg Environ Health</w:t>
      </w:r>
      <w:r w:rsidRPr="001E1FB1">
        <w:rPr>
          <w:rFonts w:cs="Times New Roman"/>
          <w:sz w:val="18"/>
          <w:szCs w:val="18"/>
        </w:rPr>
        <w:t>. 2014 Jul;217(6):628–37. doi:10.1016/j.ijheh.2013.11.003.</w:t>
      </w:r>
    </w:p>
  </w:endnote>
  <w:endnote w:id="57">
    <w:p w14:paraId="04721234" w14:textId="71AF3E6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8" w:history="1">
        <w:r w:rsidRPr="001E1FB1">
          <w:rPr>
            <w:rStyle w:val="Hyperlink"/>
            <w:rFonts w:cs="Times New Roman"/>
            <w:sz w:val="18"/>
            <w:szCs w:val="18"/>
            <w:u w:val="none"/>
          </w:rPr>
          <w:t>https://e-cigarettes.surgeongeneral.gov/documents/</w:t>
        </w:r>
        <w:r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58">
    <w:p w14:paraId="316DC252" w14:textId="77777777" w:rsidR="001E1FB1" w:rsidRDefault="001E1FB1" w:rsidP="009F2EE3">
      <w:pPr>
        <w:pStyle w:val="EndnoteText"/>
        <w:spacing w:line="276" w:lineRule="auto"/>
        <w:rPr>
          <w:rFonts w:cs="Times New Roman"/>
          <w:sz w:val="18"/>
          <w:szCs w:val="18"/>
        </w:rPr>
      </w:pPr>
    </w:p>
    <w:p w14:paraId="5AC490BD" w14:textId="77777777" w:rsidR="001E1FB1" w:rsidRDefault="001E1FB1" w:rsidP="009F2EE3">
      <w:pPr>
        <w:pStyle w:val="EndnoteText"/>
        <w:spacing w:line="276" w:lineRule="auto"/>
        <w:rPr>
          <w:rFonts w:cs="Times New Roman"/>
          <w:sz w:val="18"/>
          <w:szCs w:val="18"/>
        </w:rPr>
      </w:pPr>
    </w:p>
    <w:p w14:paraId="1CDBE9B0" w14:textId="66826AA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9" w:history="1">
        <w:r w:rsidRPr="001E1FB1">
          <w:rPr>
            <w:rStyle w:val="Hyperlink"/>
            <w:rFonts w:cs="Times New Roman"/>
            <w:sz w:val="18"/>
            <w:szCs w:val="18"/>
            <w:u w:val="none"/>
          </w:rPr>
          <w:t>https://e-cigarettes.surgeongeneral.gov/documents/</w:t>
        </w:r>
        <w:r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59">
    <w:p w14:paraId="368F0C4C" w14:textId="576FD204" w:rsidR="00377B4F" w:rsidRPr="001E1FB1" w:rsidRDefault="00377B4F" w:rsidP="00954117">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The American Society of Heating Refrigerating and Air Conditioning Engineers (ASHRAE). ASHRAE Position Document on Environmental Tobacco Smoke. </w:t>
      </w:r>
      <w:hyperlink r:id="rId40" w:history="1">
        <w:r w:rsidRPr="001E1FB1">
          <w:rPr>
            <w:rStyle w:val="Hyperlink"/>
            <w:rFonts w:cs="Times New Roman"/>
            <w:sz w:val="18"/>
            <w:szCs w:val="18"/>
            <w:u w:val="none"/>
          </w:rPr>
          <w:t>www.ashrae.org/File%20Library/About/</w:t>
        </w:r>
        <w:r w:rsidRPr="001E1FB1">
          <w:rPr>
            <w:rStyle w:val="Hyperlink"/>
            <w:rFonts w:cs="Times New Roman"/>
            <w:sz w:val="18"/>
            <w:szCs w:val="18"/>
            <w:u w:val="none"/>
          </w:rPr>
          <w:br/>
          <w:t>Position%20Documents/ASHRAE_PD_Environmental_Tobacco_Smoke_2016.pdf</w:t>
        </w:r>
      </w:hyperlink>
      <w:r w:rsidRPr="001E1FB1">
        <w:rPr>
          <w:rFonts w:cs="Times New Roman"/>
          <w:sz w:val="18"/>
          <w:szCs w:val="18"/>
        </w:rPr>
        <w:t>. Accessed August 17, 2018.</w:t>
      </w:r>
      <w:r w:rsidR="00954117" w:rsidRPr="001E1FB1">
        <w:rPr>
          <w:rFonts w:cs="Times New Roman"/>
          <w:sz w:val="18"/>
          <w:szCs w:val="18"/>
        </w:rPr>
        <w:t xml:space="preserve"> </w:t>
      </w:r>
    </w:p>
  </w:endnote>
  <w:endnote w:id="60">
    <w:p w14:paraId="22872CE3" w14:textId="7F46453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Tobacco Education and Research Oversight Comittee (TEROC). </w:t>
      </w:r>
      <w:r w:rsidRPr="001E1FB1">
        <w:rPr>
          <w:rFonts w:cs="Times New Roman"/>
          <w:iCs/>
          <w:sz w:val="18"/>
          <w:szCs w:val="18"/>
        </w:rPr>
        <w:t>Position on Electronic-Cigarettes (e-cigarettes)</w:t>
      </w:r>
      <w:r w:rsidRPr="001E1FB1">
        <w:rPr>
          <w:rFonts w:cs="Times New Roman"/>
          <w:sz w:val="18"/>
          <w:szCs w:val="18"/>
        </w:rPr>
        <w:t xml:space="preserve"> 2015. </w:t>
      </w:r>
      <w:hyperlink r:id="rId41" w:history="1">
        <w:r w:rsidRPr="001E1FB1">
          <w:rPr>
            <w:rStyle w:val="Hyperlink"/>
            <w:rFonts w:cs="Times New Roman"/>
            <w:sz w:val="18"/>
            <w:szCs w:val="18"/>
            <w:u w:val="none"/>
          </w:rPr>
          <w:t>www.cdph.ca.gov/Programs/CCDPHP/DCDIC/CTCB/CDPH%20Document%20Library/TEROC/InfoGraphicReportsLetters/TEROCECigarettePositionStatement122215.pdf</w:t>
        </w:r>
      </w:hyperlink>
      <w:r w:rsidRPr="001E1FB1">
        <w:rPr>
          <w:rFonts w:cs="Times New Roman"/>
          <w:sz w:val="18"/>
          <w:szCs w:val="18"/>
        </w:rPr>
        <w:t>. Accessed June 18, 2018.</w:t>
      </w:r>
    </w:p>
  </w:endnote>
  <w:endnote w:id="61">
    <w:p w14:paraId="6F091A88" w14:textId="3F5CD794"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Chemicals known to the state to cause cancer or reproductive toxicity. State of California Environmental Agency Office of Health Hazard Assessment website. </w:t>
      </w:r>
      <w:hyperlink r:id="rId42" w:history="1">
        <w:r w:rsidRPr="001E1FB1">
          <w:rPr>
            <w:rStyle w:val="Hyperlink"/>
            <w:rFonts w:cs="Times New Roman"/>
            <w:sz w:val="18"/>
            <w:szCs w:val="18"/>
            <w:u w:val="none"/>
          </w:rPr>
          <w:t>https://oehha.ca.gov/proposition-65/proposition-65-list</w:t>
        </w:r>
      </w:hyperlink>
      <w:r w:rsidRPr="001E1FB1">
        <w:rPr>
          <w:rFonts w:cs="Times New Roman"/>
          <w:sz w:val="18"/>
          <w:szCs w:val="18"/>
        </w:rPr>
        <w:t>. Accessed June 19, 2018.</w:t>
      </w:r>
    </w:p>
  </w:endnote>
  <w:endnote w:id="62">
    <w:p w14:paraId="4B4BC67F"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Reproductive and Cancer Hazard Assessment Branch, Office of Environmental Health Hazard Assessment, California Environmental Protection Agency. Evidence on the Carcinogenicity of Cannabis Smoke 2009.  </w:t>
      </w:r>
      <w:hyperlink r:id="rId43" w:history="1">
        <w:r w:rsidRPr="001E1FB1">
          <w:rPr>
            <w:rStyle w:val="Hyperlink"/>
            <w:rFonts w:cs="Times New Roman"/>
            <w:sz w:val="18"/>
            <w:szCs w:val="18"/>
            <w:u w:val="none"/>
          </w:rPr>
          <w:t>https://oehha.ca.gov/media/downloads/proposition-65/chemicals/finalmjsmokehid.pdf</w:t>
        </w:r>
      </w:hyperlink>
      <w:r w:rsidRPr="001E1FB1">
        <w:rPr>
          <w:rFonts w:cs="Times New Roman"/>
          <w:sz w:val="18"/>
          <w:szCs w:val="18"/>
        </w:rPr>
        <w:t>. Accessed June 19, 2018.</w:t>
      </w:r>
    </w:p>
  </w:endnote>
  <w:endnote w:id="63">
    <w:p w14:paraId="350ACFFA"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Reproductive and Cancer Hazard Assessment Branch, Office of Environmental Health Hazard Assessment, California Environmental Protection Agency. Evidence on the Carcinogenicity of Cannabis Smoke 2009.  </w:t>
      </w:r>
      <w:hyperlink r:id="rId44" w:history="1">
        <w:r w:rsidRPr="001E1FB1">
          <w:rPr>
            <w:rStyle w:val="Hyperlink"/>
            <w:rFonts w:cs="Times New Roman"/>
            <w:sz w:val="18"/>
            <w:szCs w:val="18"/>
            <w:u w:val="none"/>
          </w:rPr>
          <w:t>https://oehha.ca.gov/media/downloads/proposition-65/chemicals/finalmjsmokehid.pdf</w:t>
        </w:r>
      </w:hyperlink>
      <w:r w:rsidRPr="001E1FB1">
        <w:rPr>
          <w:rFonts w:cs="Times New Roman"/>
          <w:sz w:val="18"/>
          <w:szCs w:val="18"/>
        </w:rPr>
        <w:t>. Accessed June 19, 2018.</w:t>
      </w:r>
    </w:p>
  </w:endnote>
  <w:endnote w:id="64">
    <w:p w14:paraId="7AD97B7D"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Herrmann, ES, Cone, EJ, Mitchell, JM, et al. Non-Smoker Exposure to Secondhand Cannabis Smoke II: Effect of Room Ventilation on the Physiological, Subjective, and Behavioral/Cognitive Effects. </w:t>
      </w:r>
      <w:r w:rsidRPr="001E1FB1">
        <w:rPr>
          <w:rFonts w:cs="Times New Roman"/>
          <w:i/>
          <w:sz w:val="18"/>
          <w:szCs w:val="18"/>
        </w:rPr>
        <w:t>Drug Alcohol Depend.</w:t>
      </w:r>
      <w:r w:rsidRPr="001E1FB1">
        <w:rPr>
          <w:rFonts w:cs="Times New Roman"/>
          <w:sz w:val="18"/>
          <w:szCs w:val="18"/>
        </w:rPr>
        <w:t xml:space="preserve"> 2015 Jun 1;151:194–202. doi: 10.1016/j.drugalcdep.2015.03.019.</w:t>
      </w:r>
    </w:p>
  </w:endnote>
  <w:endnote w:id="65">
    <w:p w14:paraId="04636A2B"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Holitzki H, Dowsett LE, Spackman E, Noseworthy T, Clement F. Health effects of exposure to second- and third-hand marijuana smoke: a systematic review. </w:t>
      </w:r>
      <w:r w:rsidRPr="001E1FB1">
        <w:rPr>
          <w:rFonts w:cs="Times New Roman"/>
          <w:i/>
          <w:iCs/>
          <w:sz w:val="18"/>
          <w:szCs w:val="18"/>
        </w:rPr>
        <w:t>CMAJ Open</w:t>
      </w:r>
      <w:r w:rsidRPr="001E1FB1">
        <w:rPr>
          <w:rFonts w:cs="Times New Roman"/>
          <w:sz w:val="18"/>
          <w:szCs w:val="18"/>
        </w:rPr>
        <w:t>. 2017;5(4):E814-E822. doi:10.9778/cmajo.20170112.</w:t>
      </w:r>
    </w:p>
  </w:endnote>
  <w:endnote w:id="66">
    <w:p w14:paraId="74EC9B8E" w14:textId="28D78871"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5"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67">
    <w:p w14:paraId="34188FAC" w14:textId="6F9A1FCE"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6"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68">
    <w:p w14:paraId="2D4C8158" w14:textId="06C309FD"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7"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69">
    <w:p w14:paraId="6B0AC7DC" w14:textId="0362F4F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8"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70">
    <w:p w14:paraId="17A23A49" w14:textId="065CA191"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9"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71">
    <w:p w14:paraId="45A2C3A2" w14:textId="2AAEF87E"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50"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72">
    <w:p w14:paraId="1037F1C6" w14:textId="157FB1D3"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Centers for Disease Control and Prevention (CDC). Smokeless Tobacco: Health Effects. </w:t>
      </w:r>
      <w:hyperlink r:id="rId51" w:history="1">
        <w:r w:rsidRPr="001E1FB1">
          <w:rPr>
            <w:rStyle w:val="Hyperlink"/>
            <w:rFonts w:cs="Times New Roman"/>
            <w:sz w:val="18"/>
            <w:szCs w:val="18"/>
            <w:u w:val="none"/>
          </w:rPr>
          <w:t>www.cdc.gov/tobacco/data_statistics/fact_sheets/smokeless/health_effects/index.htm</w:t>
        </w:r>
      </w:hyperlink>
      <w:r w:rsidRPr="001E1FB1">
        <w:rPr>
          <w:rFonts w:cs="Times New Roman"/>
          <w:sz w:val="18"/>
          <w:szCs w:val="18"/>
        </w:rPr>
        <w:t>. Accessed September 11, 2018.</w:t>
      </w:r>
    </w:p>
  </w:endnote>
  <w:endnote w:id="73">
    <w:p w14:paraId="4D42FD30" w14:textId="221FA60F"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National Cancer Institute. Smokeless Tobacco and Cancer. 2010. Available at: </w:t>
      </w:r>
      <w:hyperlink r:id="rId52" w:history="1">
        <w:r w:rsidRPr="00954117">
          <w:rPr>
            <w:rStyle w:val="Hyperlink"/>
            <w:rFonts w:cs="Times New Roman"/>
            <w:sz w:val="18"/>
            <w:szCs w:val="18"/>
            <w:u w:val="none"/>
          </w:rPr>
          <w:t>www.cancer.gov/cancertopics/causes-prevention/risk/tobacco/smokeless-fact-sheet</w:t>
        </w:r>
      </w:hyperlink>
      <w:r w:rsidRPr="00954117">
        <w:rPr>
          <w:rFonts w:cs="Times New Roman"/>
          <w:sz w:val="18"/>
          <w:szCs w:val="18"/>
        </w:rPr>
        <w:t xml:space="preserve">. </w:t>
      </w:r>
      <w:r w:rsidRPr="001E1FB1">
        <w:rPr>
          <w:rFonts w:cs="Times New Roman"/>
          <w:sz w:val="18"/>
          <w:szCs w:val="18"/>
        </w:rPr>
        <w:t>Accessed September 11, 2018.</w:t>
      </w:r>
    </w:p>
  </w:endnote>
  <w:endnote w:id="74">
    <w:p w14:paraId="1DF8067D"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Henley SJ, Thun M, Connell C, Calle E. Two Large Prospective Studies of Mortality Among Men Who Use Snuff or Chewing Tobacco (United States). </w:t>
      </w:r>
      <w:r w:rsidRPr="001E1FB1">
        <w:rPr>
          <w:rFonts w:cs="Times New Roman"/>
          <w:i/>
          <w:iCs/>
          <w:sz w:val="18"/>
          <w:szCs w:val="18"/>
        </w:rPr>
        <w:t>Cancer Causes Control</w:t>
      </w:r>
      <w:r w:rsidRPr="001E1FB1">
        <w:rPr>
          <w:rFonts w:cs="Times New Roman"/>
          <w:sz w:val="18"/>
          <w:szCs w:val="18"/>
        </w:rPr>
        <w:t>. 2005;16(4):347–58. doi:10.1007/s10552-004-5519-6.</w:t>
      </w:r>
    </w:p>
  </w:endnote>
  <w:endnote w:id="75">
    <w:p w14:paraId="4F1D9A0A" w14:textId="58E9127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Boffetta P, Straif K. Use of smokeless tobacco and risk of myocardial infarction and stroke: systematic review with meta-analysis. 2009:1–6. doi:10.1136/bmj.b3060.</w:t>
      </w:r>
    </w:p>
  </w:endnote>
  <w:endnote w:id="76">
    <w:p w14:paraId="3DAB470D"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Arefalk G, Hambraeus K, Lind L, Michaëlsson K, Lindahl B, Sundström J. Discontinuation of smokeless tobacco and mortality risk after myocardial infarction. </w:t>
      </w:r>
      <w:r w:rsidRPr="001E1FB1">
        <w:rPr>
          <w:rFonts w:cs="Times New Roman"/>
          <w:i/>
          <w:iCs/>
          <w:sz w:val="18"/>
          <w:szCs w:val="18"/>
        </w:rPr>
        <w:t>Circulation</w:t>
      </w:r>
      <w:r w:rsidRPr="001E1FB1">
        <w:rPr>
          <w:rFonts w:cs="Times New Roman"/>
          <w:sz w:val="18"/>
          <w:szCs w:val="18"/>
        </w:rPr>
        <w:t>. 2014;130(4):325–32. doi:10.1161/CIRCULATIONAHA.113.007252.</w:t>
      </w:r>
    </w:p>
  </w:endnote>
  <w:endnote w:id="77">
    <w:p w14:paraId="6ED19A42"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Baba S, Wikström A-K, Stephansson O, Cnattingius S. Influence of snuff and smoking habits in early pregnancy on risks for stillbirth and early neonatal mortality. </w:t>
      </w:r>
      <w:r w:rsidRPr="001E1FB1">
        <w:rPr>
          <w:rFonts w:cs="Times New Roman"/>
          <w:i/>
          <w:iCs/>
          <w:sz w:val="18"/>
          <w:szCs w:val="18"/>
        </w:rPr>
        <w:t>Nicotine Tob Res</w:t>
      </w:r>
      <w:r w:rsidRPr="001E1FB1">
        <w:rPr>
          <w:rFonts w:cs="Times New Roman"/>
          <w:sz w:val="18"/>
          <w:szCs w:val="18"/>
        </w:rPr>
        <w:t>. 2014;16(1):78–83. doi:10.1093/ntr/ntt117.</w:t>
      </w:r>
    </w:p>
  </w:endnote>
  <w:endnote w:id="78">
    <w:p w14:paraId="7A17BC5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Wallbank LA, MacKenzie R, Beggs PJ. Environmental impacts of tobacco product waste: International and Australian policy responses. </w:t>
      </w:r>
      <w:r w:rsidRPr="001E1FB1">
        <w:rPr>
          <w:rFonts w:cs="Times New Roman"/>
          <w:i/>
          <w:iCs/>
          <w:sz w:val="18"/>
          <w:szCs w:val="18"/>
        </w:rPr>
        <w:t>Ambio</w:t>
      </w:r>
      <w:r w:rsidRPr="001E1FB1">
        <w:rPr>
          <w:rFonts w:cs="Times New Roman"/>
          <w:sz w:val="18"/>
          <w:szCs w:val="18"/>
        </w:rPr>
        <w:t>. 2017;46(3):361-370. doi:10.1007/s13280-016-0851-0.</w:t>
      </w:r>
    </w:p>
  </w:endnote>
  <w:endnote w:id="79">
    <w:p w14:paraId="43830F74" w14:textId="7472ACDB" w:rsidR="00377B4F" w:rsidRPr="001E1FB1" w:rsidRDefault="00377B4F" w:rsidP="003A641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Rath JM, Rubenstein R a, Curry LE, Shank SE, Cartwright JC. Cigarette litter: Smokers’ attitudes and behaviors. </w:t>
      </w:r>
      <w:r w:rsidRPr="001E1FB1">
        <w:rPr>
          <w:rFonts w:cs="Times New Roman"/>
          <w:i/>
          <w:iCs/>
          <w:sz w:val="18"/>
          <w:szCs w:val="18"/>
        </w:rPr>
        <w:t>Int J Environ Res Public Health</w:t>
      </w:r>
      <w:r w:rsidRPr="001E1FB1">
        <w:rPr>
          <w:rFonts w:cs="Times New Roman"/>
          <w:sz w:val="18"/>
          <w:szCs w:val="18"/>
        </w:rPr>
        <w:t>. 2012;9(6):2189–203. doi:10.3390/ijerph9062189.</w:t>
      </w:r>
      <w:r w:rsidR="003A6413" w:rsidRPr="001E1FB1">
        <w:rPr>
          <w:rFonts w:cs="Times New Roman"/>
          <w:sz w:val="18"/>
          <w:szCs w:val="18"/>
        </w:rPr>
        <w:t xml:space="preserve"> </w:t>
      </w:r>
    </w:p>
  </w:endnote>
  <w:endnote w:id="80">
    <w:p w14:paraId="611EB887"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Schneider JE, Peterson NA, Kiss N, Ebeid O, Doyle AS. Tobacco litter costs and public policy: a framework and methodology for considering the use of fees to offset abatement costs. </w:t>
      </w:r>
      <w:r w:rsidRPr="001E1FB1">
        <w:rPr>
          <w:rFonts w:cs="Times New Roman"/>
          <w:i/>
          <w:iCs/>
          <w:sz w:val="18"/>
          <w:szCs w:val="18"/>
        </w:rPr>
        <w:t>Tob Control</w:t>
      </w:r>
      <w:r w:rsidRPr="001E1FB1">
        <w:rPr>
          <w:rFonts w:cs="Times New Roman"/>
          <w:sz w:val="18"/>
          <w:szCs w:val="18"/>
        </w:rPr>
        <w:t>. 2011;20 Suppl 1(Suppl 1):i36–41. doi:10.1136/tc.2010.041707.</w:t>
      </w:r>
    </w:p>
  </w:endnote>
  <w:endnote w:id="81">
    <w:p w14:paraId="7299F845" w14:textId="6E5E44D8"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003A6413">
        <w:rPr>
          <w:rFonts w:cs="Times New Roman"/>
          <w:sz w:val="18"/>
          <w:szCs w:val="18"/>
        </w:rPr>
        <w:t xml:space="preserve"> </w:t>
      </w:r>
      <w:r w:rsidRPr="001E1FB1">
        <w:rPr>
          <w:rFonts w:cs="Times New Roman"/>
          <w:sz w:val="18"/>
          <w:szCs w:val="18"/>
        </w:rPr>
        <w:t xml:space="preserve">Economic &amp; Environmental Impact. Keep America Beautiful website. </w:t>
      </w:r>
      <w:hyperlink r:id="rId53" w:history="1">
        <w:r w:rsidRPr="001E1FB1">
          <w:rPr>
            <w:rStyle w:val="Hyperlink"/>
            <w:rFonts w:cs="Times New Roman"/>
            <w:sz w:val="18"/>
            <w:szCs w:val="18"/>
            <w:u w:val="none"/>
          </w:rPr>
          <w:t>www.kab.org/cigarette-litter-prevention/economic-environmental-impact</w:t>
        </w:r>
      </w:hyperlink>
      <w:r w:rsidRPr="001E1FB1">
        <w:rPr>
          <w:rStyle w:val="Hyperlink"/>
          <w:rFonts w:cs="Times New Roman"/>
          <w:sz w:val="18"/>
          <w:szCs w:val="18"/>
          <w:u w:val="none"/>
        </w:rPr>
        <w:t xml:space="preserve">. </w:t>
      </w:r>
      <w:r w:rsidRPr="001E1FB1">
        <w:rPr>
          <w:rStyle w:val="Hyperlink"/>
          <w:rFonts w:cs="Times New Roman"/>
          <w:color w:val="auto"/>
          <w:sz w:val="18"/>
          <w:szCs w:val="18"/>
          <w:u w:val="none"/>
        </w:rPr>
        <w:t>Accessed September 11, 2018.</w:t>
      </w:r>
      <w:r w:rsidRPr="001E1FB1">
        <w:rPr>
          <w:rFonts w:cs="Times New Roman"/>
          <w:color w:val="auto"/>
          <w:sz w:val="18"/>
          <w:szCs w:val="18"/>
        </w:rPr>
        <w:t xml:space="preserve"> </w:t>
      </w:r>
    </w:p>
  </w:endnote>
  <w:endnote w:id="82">
    <w:p w14:paraId="17D6581E" w14:textId="33325D1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Ocean Conservancy. Tracking Trash: 25 Years of Action for the Ocean 2011. </w:t>
      </w:r>
      <w:hyperlink r:id="rId54" w:history="1">
        <w:r w:rsidRPr="001E1FB1">
          <w:rPr>
            <w:rStyle w:val="Hyperlink"/>
            <w:rFonts w:cs="Times New Roman"/>
            <w:sz w:val="18"/>
            <w:szCs w:val="18"/>
            <w:u w:val="none"/>
          </w:rPr>
          <w:t>https://oceanconservancy.org/wp-content/uploads/2017/04/2011-Ocean-Conservancy-ICC-Report.pdf</w:t>
        </w:r>
      </w:hyperlink>
      <w:r w:rsidRPr="001E1FB1">
        <w:rPr>
          <w:rFonts w:cs="Times New Roman"/>
          <w:sz w:val="18"/>
          <w:szCs w:val="18"/>
        </w:rPr>
        <w:t>. Accessed September 11, 2018.</w:t>
      </w:r>
    </w:p>
  </w:endnote>
  <w:endnote w:id="83">
    <w:p w14:paraId="14FF43DA" w14:textId="2E2A6525"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Ocean Conservancy. Tracking Trash: 25 Years of Action for the Ocean 2011. </w:t>
      </w:r>
      <w:hyperlink r:id="rId55" w:history="1">
        <w:r w:rsidRPr="001E1FB1">
          <w:rPr>
            <w:rStyle w:val="Hyperlink"/>
            <w:rFonts w:cs="Times New Roman"/>
            <w:sz w:val="18"/>
            <w:szCs w:val="18"/>
            <w:u w:val="none"/>
          </w:rPr>
          <w:t>https://oceanconservancy.org/wp-content/uploads/2017/04/2011-Ocean-Conservancy-ICC-Report.pdf</w:t>
        </w:r>
      </w:hyperlink>
      <w:r w:rsidRPr="001E1FB1">
        <w:rPr>
          <w:rFonts w:cs="Times New Roman"/>
          <w:sz w:val="18"/>
          <w:szCs w:val="18"/>
        </w:rPr>
        <w:t>. Accessed September 11, 2018.</w:t>
      </w:r>
    </w:p>
  </w:endnote>
  <w:endnote w:id="84">
    <w:p w14:paraId="1FDACA94"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Novotny TE, Lum K, Smith E, Wang V, Barnes R. Cigarettes butts and the case for an environmental policy on hazardous cigarette waste. </w:t>
      </w:r>
      <w:r w:rsidRPr="001E1FB1">
        <w:rPr>
          <w:rFonts w:cs="Times New Roman"/>
          <w:i/>
          <w:iCs/>
          <w:sz w:val="18"/>
          <w:szCs w:val="18"/>
        </w:rPr>
        <w:t>Int J Environ Res Public Health</w:t>
      </w:r>
      <w:r w:rsidRPr="001E1FB1">
        <w:rPr>
          <w:rFonts w:cs="Times New Roman"/>
          <w:sz w:val="18"/>
          <w:szCs w:val="18"/>
        </w:rPr>
        <w:t>. 2009;6(5):1691–705. doi:10.3390/ijerph6051691.</w:t>
      </w:r>
    </w:p>
  </w:endnote>
  <w:endnote w:id="85">
    <w:p w14:paraId="279A551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Mowry JB, Spyker D a, Cantilena LR, Bailey JE, Ford M. 2012 Annual report of the American Association of Poison Control Centers’ National Poison Data System (NPDS): 30th annual report. </w:t>
      </w:r>
      <w:r w:rsidRPr="001E1FB1">
        <w:rPr>
          <w:rFonts w:cs="Times New Roman"/>
          <w:i/>
          <w:iCs/>
          <w:sz w:val="18"/>
          <w:szCs w:val="18"/>
        </w:rPr>
        <w:t>Clin Toxicol</w:t>
      </w:r>
      <w:r w:rsidRPr="001E1FB1">
        <w:rPr>
          <w:rFonts w:cs="Times New Roman"/>
          <w:sz w:val="18"/>
          <w:szCs w:val="18"/>
        </w:rPr>
        <w:t>. 2013;51(10):949–1229. doi:10.3109/15563650.2013.863906.</w:t>
      </w:r>
    </w:p>
  </w:endnote>
  <w:endnote w:id="86">
    <w:p w14:paraId="66BE946A" w14:textId="48AE0D2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Kamboj, A, Spiller HA,  Casavant, MJ, Chounthirath, T, Smith, GA. Pediatric Exposure to E-Cigarettes, Nicotine, and Tobacco Products in the United States. </w:t>
      </w:r>
      <w:r w:rsidRPr="001E1FB1">
        <w:rPr>
          <w:rFonts w:cs="Times New Roman"/>
          <w:i/>
          <w:sz w:val="18"/>
          <w:szCs w:val="18"/>
        </w:rPr>
        <w:t>Pediatrics</w:t>
      </w:r>
      <w:r w:rsidRPr="001E1FB1">
        <w:rPr>
          <w:rFonts w:cs="Times New Roman"/>
          <w:sz w:val="18"/>
          <w:szCs w:val="18"/>
        </w:rPr>
        <w:t>. 2016, e20160041. </w:t>
      </w:r>
      <w:r w:rsidRPr="001E1FB1">
        <w:rPr>
          <w:rFonts w:cs="Times New Roman"/>
          <w:bCs/>
          <w:sz w:val="18"/>
          <w:szCs w:val="18"/>
        </w:rPr>
        <w:t>doi</w:t>
      </w:r>
      <w:r w:rsidRPr="001E1FB1">
        <w:rPr>
          <w:rFonts w:cs="Times New Roman"/>
          <w:b/>
          <w:bCs/>
          <w:sz w:val="18"/>
          <w:szCs w:val="18"/>
        </w:rPr>
        <w:t>:</w:t>
      </w:r>
      <w:r w:rsidRPr="001E1FB1">
        <w:rPr>
          <w:rFonts w:cs="Times New Roman"/>
          <w:sz w:val="18"/>
          <w:szCs w:val="18"/>
        </w:rPr>
        <w:t xml:space="preserve"> 10.1542/peds.2016-0041. Available at: </w:t>
      </w:r>
      <w:hyperlink r:id="rId56" w:history="1">
        <w:r w:rsidRPr="001E1FB1">
          <w:rPr>
            <w:rStyle w:val="Hyperlink"/>
            <w:rFonts w:cs="Times New Roman"/>
            <w:sz w:val="18"/>
            <w:szCs w:val="18"/>
            <w:u w:val="none"/>
          </w:rPr>
          <w:t>http://pediatrics.aappublications.org/content/early/2016/05/05/peds.2016-0041</w:t>
        </w:r>
      </w:hyperlink>
      <w:r w:rsidRPr="001E1FB1">
        <w:rPr>
          <w:rStyle w:val="Hyperlink"/>
          <w:rFonts w:cs="Times New Roman"/>
          <w:sz w:val="18"/>
          <w:szCs w:val="18"/>
          <w:u w:val="none"/>
        </w:rPr>
        <w:t>.</w:t>
      </w:r>
      <w:r w:rsidRPr="001E1FB1">
        <w:rPr>
          <w:rFonts w:cs="Times New Roman"/>
          <w:sz w:val="18"/>
          <w:szCs w:val="18"/>
        </w:rPr>
        <w:t xml:space="preserve"> Accessed September 11, 2018.</w:t>
      </w:r>
    </w:p>
  </w:endnote>
  <w:endnote w:id="87">
    <w:p w14:paraId="1D308FB4" w14:textId="13497D07" w:rsidR="00377B4F" w:rsidRPr="001E1FB1" w:rsidRDefault="00377B4F" w:rsidP="009F2EE3">
      <w:pPr>
        <w:pStyle w:val="EndnoteText"/>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Lewander W, Wine H, Carnevale R, et al. Ingestion of cigarettes and cigarette butts by children --</w:t>
      </w:r>
      <w:r w:rsidRPr="001E1FB1">
        <w:rPr>
          <w:rFonts w:cs="Times New Roman"/>
          <w:sz w:val="18"/>
          <w:szCs w:val="18"/>
        </w:rPr>
        <w:softHyphen/>
        <w:t xml:space="preserve"> Rhode Island, January 1994 -</w:t>
      </w:r>
      <w:r w:rsidRPr="001E1FB1">
        <w:rPr>
          <w:rFonts w:cs="Times New Roman"/>
          <w:sz w:val="18"/>
          <w:szCs w:val="18"/>
        </w:rPr>
        <w:softHyphen/>
        <w:t xml:space="preserve"> July 1996. </w:t>
      </w:r>
      <w:r w:rsidRPr="001E1FB1">
        <w:rPr>
          <w:rFonts w:cs="Times New Roman"/>
          <w:i/>
          <w:iCs/>
          <w:sz w:val="18"/>
          <w:szCs w:val="18"/>
        </w:rPr>
        <w:t>Morb Mortal Wkly Rep</w:t>
      </w:r>
      <w:r w:rsidRPr="001E1FB1">
        <w:rPr>
          <w:rFonts w:cs="Times New Roman"/>
          <w:sz w:val="18"/>
          <w:szCs w:val="18"/>
        </w:rPr>
        <w:t xml:space="preserve">. 1997;40(6):125–128. Available at: </w:t>
      </w:r>
      <w:hyperlink r:id="rId57" w:history="1">
        <w:r w:rsidRPr="003A6413">
          <w:rPr>
            <w:rStyle w:val="Hyperlink"/>
            <w:rFonts w:cs="Times New Roman"/>
            <w:sz w:val="18"/>
            <w:szCs w:val="18"/>
            <w:u w:val="none"/>
          </w:rPr>
          <w:t>www.cdc.gov/mmwr/preview/mmwrhtml/00046181.htm</w:t>
        </w:r>
      </w:hyperlink>
      <w:r w:rsidRPr="003A6413">
        <w:rPr>
          <w:rFonts w:cs="Times New Roman"/>
          <w:sz w:val="18"/>
          <w:szCs w:val="18"/>
        </w:rPr>
        <w:t>.</w:t>
      </w:r>
      <w:r w:rsidRPr="001E1FB1">
        <w:rPr>
          <w:rFonts w:cs="Times New Roman"/>
          <w:i/>
          <w:sz w:val="18"/>
          <w:szCs w:val="18"/>
        </w:rPr>
        <w:t xml:space="preserve"> </w:t>
      </w:r>
      <w:r w:rsidRPr="001E1FB1">
        <w:rPr>
          <w:rFonts w:cs="Times New Roman"/>
          <w:sz w:val="18"/>
          <w:szCs w:val="18"/>
        </w:rPr>
        <w:t>Accessed September 11, 2018.</w:t>
      </w:r>
    </w:p>
  </w:endnote>
  <w:endnote w:id="88">
    <w:p w14:paraId="38509088" w14:textId="104E747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Kamboj, A, Spiller HA,  Casavant, MJ, Chounthirath, T, Smith, GA. Pediatric Exposure to E-Cigarettes, Nicotine, and Tobacco Products in the United States. </w:t>
      </w:r>
      <w:r w:rsidRPr="001E1FB1">
        <w:rPr>
          <w:rFonts w:cs="Times New Roman"/>
          <w:i/>
          <w:sz w:val="18"/>
          <w:szCs w:val="18"/>
        </w:rPr>
        <w:t>Pediatrics</w:t>
      </w:r>
      <w:r w:rsidRPr="001E1FB1">
        <w:rPr>
          <w:rFonts w:cs="Times New Roman"/>
          <w:sz w:val="18"/>
          <w:szCs w:val="18"/>
        </w:rPr>
        <w:t>. 2016, e20160041. </w:t>
      </w:r>
      <w:r w:rsidRPr="001E1FB1">
        <w:rPr>
          <w:rFonts w:cs="Times New Roman"/>
          <w:bCs/>
          <w:sz w:val="18"/>
          <w:szCs w:val="18"/>
        </w:rPr>
        <w:t>doi</w:t>
      </w:r>
      <w:r w:rsidRPr="001E1FB1">
        <w:rPr>
          <w:rFonts w:cs="Times New Roman"/>
          <w:b/>
          <w:bCs/>
          <w:sz w:val="18"/>
          <w:szCs w:val="18"/>
        </w:rPr>
        <w:t>:</w:t>
      </w:r>
      <w:r w:rsidRPr="001E1FB1">
        <w:rPr>
          <w:rFonts w:cs="Times New Roman"/>
          <w:sz w:val="18"/>
          <w:szCs w:val="18"/>
        </w:rPr>
        <w:t xml:space="preserve"> 10.1542/peds.2016-0041. Available at: </w:t>
      </w:r>
      <w:hyperlink r:id="rId58" w:history="1">
        <w:r w:rsidRPr="001E1FB1">
          <w:rPr>
            <w:rStyle w:val="Hyperlink"/>
            <w:rFonts w:cs="Times New Roman"/>
            <w:sz w:val="18"/>
            <w:szCs w:val="18"/>
            <w:u w:val="none"/>
          </w:rPr>
          <w:t>http://pediatrics.aappublications.org/content/early/2016/05/05/peds.2016-0041</w:t>
        </w:r>
      </w:hyperlink>
      <w:r w:rsidRPr="001E1FB1">
        <w:rPr>
          <w:rFonts w:cs="Times New Roman"/>
          <w:sz w:val="18"/>
          <w:szCs w:val="18"/>
        </w:rPr>
        <w:t>. Accessed September 11, 2018.</w:t>
      </w:r>
    </w:p>
  </w:endnote>
  <w:endnote w:id="89">
    <w:p w14:paraId="05C58C13" w14:textId="5E1729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Lab. Code § 6404.5 (West 2016).</w:t>
      </w:r>
    </w:p>
  </w:endnote>
  <w:endnote w:id="90">
    <w:p w14:paraId="069B6024" w14:textId="11E6A5BD"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Johnson R, Pearson A. </w:t>
      </w:r>
      <w:r w:rsidRPr="001E1FB1">
        <w:rPr>
          <w:rFonts w:cs="Times New Roman"/>
          <w:iCs/>
          <w:sz w:val="18"/>
          <w:szCs w:val="18"/>
        </w:rPr>
        <w:t>Left Behind in the Smoke: How Exemptions in California’s Smokefree Workplace Act Impact Health Inequities</w:t>
      </w:r>
      <w:r w:rsidRPr="001E1FB1">
        <w:rPr>
          <w:rFonts w:cs="Times New Roman"/>
          <w:sz w:val="18"/>
          <w:szCs w:val="18"/>
        </w:rPr>
        <w:t>. ChangeLab Solutions; 2014. Available at:</w:t>
      </w:r>
      <w:r w:rsidRPr="003A6413">
        <w:rPr>
          <w:rFonts w:cs="Times New Roman"/>
          <w:sz w:val="18"/>
          <w:szCs w:val="18"/>
        </w:rPr>
        <w:t xml:space="preserve"> </w:t>
      </w:r>
      <w:hyperlink r:id="rId59" w:history="1">
        <w:r w:rsidRPr="003A6413">
          <w:rPr>
            <w:rStyle w:val="Hyperlink"/>
            <w:rFonts w:cs="Times New Roman"/>
            <w:sz w:val="18"/>
            <w:szCs w:val="18"/>
            <w:u w:val="none"/>
          </w:rPr>
          <w:t>http://changelabsolutions.org/publications/smokefree-workplaces-inequities</w:t>
        </w:r>
      </w:hyperlink>
      <w:r w:rsidRPr="003A6413">
        <w:rPr>
          <w:rFonts w:cs="Times New Roman"/>
          <w:sz w:val="18"/>
          <w:szCs w:val="18"/>
        </w:rPr>
        <w:t>.</w:t>
      </w:r>
      <w:r w:rsidRPr="001E1FB1">
        <w:rPr>
          <w:rFonts w:cs="Times New Roman"/>
          <w:i/>
          <w:sz w:val="18"/>
          <w:szCs w:val="18"/>
        </w:rPr>
        <w:t xml:space="preserve"> </w:t>
      </w:r>
      <w:r w:rsidRPr="001E1FB1">
        <w:rPr>
          <w:rFonts w:cs="Times New Roman"/>
          <w:sz w:val="18"/>
          <w:szCs w:val="18"/>
        </w:rPr>
        <w:t>Accessed September 11, 2018.</w:t>
      </w:r>
    </w:p>
  </w:endnote>
  <w:endnote w:id="91">
    <w:p w14:paraId="25069E10" w14:textId="720E0E0F"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Max W, Sung H-Y, Shi Y. Exposure to Secondhand Smoke at Home and at Work in California. </w:t>
      </w:r>
      <w:r w:rsidRPr="001E1FB1">
        <w:rPr>
          <w:rFonts w:cs="Times New Roman"/>
          <w:i/>
          <w:iCs/>
          <w:sz w:val="18"/>
          <w:szCs w:val="18"/>
        </w:rPr>
        <w:t>Public Health Reports</w:t>
      </w:r>
      <w:r w:rsidRPr="001E1FB1">
        <w:rPr>
          <w:rFonts w:cs="Times New Roman"/>
          <w:sz w:val="18"/>
          <w:szCs w:val="18"/>
        </w:rPr>
        <w:t>. 2012;127(1):81-88. doi:10.1177/003335491212700109.</w:t>
      </w:r>
    </w:p>
  </w:endnote>
  <w:endnote w:id="92">
    <w:p w14:paraId="09EA9732" w14:textId="203E5AD3"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Holmes LM, Ling PM. Workplace secondhand smoke exposure: a lingering hazard for young adults in California. </w:t>
      </w:r>
      <w:r w:rsidRPr="001E1FB1">
        <w:rPr>
          <w:rFonts w:cs="Times New Roman"/>
          <w:i/>
          <w:iCs/>
          <w:sz w:val="18"/>
          <w:szCs w:val="18"/>
        </w:rPr>
        <w:t>Tobacco Control</w:t>
      </w:r>
      <w:r w:rsidRPr="001E1FB1">
        <w:rPr>
          <w:rFonts w:cs="Times New Roman"/>
          <w:sz w:val="18"/>
          <w:szCs w:val="18"/>
        </w:rPr>
        <w:t>. 2017;26(E1):e79-e84. doi:10.1136/tobaccocontrol-2016-052921.</w:t>
      </w:r>
    </w:p>
  </w:endnote>
  <w:endnote w:id="93">
    <w:p w14:paraId="07B7024E" w14:textId="132F106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Lab. Code § 6404.5(i) (West 2016)</w:t>
      </w:r>
    </w:p>
  </w:endnote>
  <w:endnote w:id="94">
    <w:p w14:paraId="12E0131A" w14:textId="0F95A274"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Health &amp; Safety Code § 104495 (West 2016)</w:t>
      </w:r>
    </w:p>
  </w:endnote>
  <w:endnote w:id="95">
    <w:p w14:paraId="394978BB" w14:textId="0935644E"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Gov. Code §§ 7596–7598 (West 2016)</w:t>
      </w:r>
    </w:p>
  </w:endnote>
  <w:endnote w:id="96">
    <w:p w14:paraId="6815FF54" w14:textId="5CEC4D61" w:rsidR="00377B4F" w:rsidRPr="001E1FB1" w:rsidRDefault="00377B4F" w:rsidP="009F2EE3">
      <w:pPr>
        <w:pStyle w:val="EndnoteText"/>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Ed. Code § 89031 (West 2016)</w:t>
      </w:r>
    </w:p>
  </w:endnote>
  <w:endnote w:id="97">
    <w:p w14:paraId="52A95ED2" w14:textId="2884313E"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Goodwin Simon Victoria Research. Study of California Voters’ Attitudes About Secondhand Smoke Exposure. </w:t>
      </w:r>
      <w:r w:rsidRPr="001E1FB1">
        <w:rPr>
          <w:rFonts w:cs="Times New Roman"/>
          <w:i/>
          <w:iCs/>
          <w:sz w:val="18"/>
          <w:szCs w:val="18"/>
        </w:rPr>
        <w:t>Cent Tob Policy Organ</w:t>
      </w:r>
      <w:r w:rsidRPr="001E1FB1">
        <w:rPr>
          <w:rFonts w:cs="Times New Roman"/>
          <w:sz w:val="18"/>
          <w:szCs w:val="18"/>
        </w:rPr>
        <w:t>. 2008. Available at:</w:t>
      </w:r>
      <w:r w:rsidRPr="00FC6552">
        <w:rPr>
          <w:rFonts w:cs="Times New Roman"/>
          <w:sz w:val="18"/>
          <w:szCs w:val="18"/>
        </w:rPr>
        <w:t xml:space="preserve"> </w:t>
      </w:r>
      <w:hyperlink r:id="rId60" w:history="1">
        <w:r w:rsidRPr="00FC6552">
          <w:rPr>
            <w:rStyle w:val="Hyperlink"/>
            <w:rFonts w:cs="Times New Roman"/>
            <w:sz w:val="18"/>
            <w:szCs w:val="18"/>
            <w:u w:val="none"/>
          </w:rPr>
          <w:t>http://center4tobaccopolicy.org/tobacco-policy/smokefree-outdoor-areas/secondhand-smoke-california-voters/</w:t>
        </w:r>
      </w:hyperlink>
      <w:r w:rsidRPr="00FC6552">
        <w:rPr>
          <w:rFonts w:cs="Times New Roman"/>
          <w:sz w:val="18"/>
          <w:szCs w:val="18"/>
        </w:rPr>
        <w:t xml:space="preserve">. </w:t>
      </w:r>
      <w:r w:rsidRPr="001E1FB1">
        <w:rPr>
          <w:rFonts w:cs="Times New Roman"/>
          <w:sz w:val="18"/>
          <w:szCs w:val="18"/>
        </w:rPr>
        <w:t>Accessed September 11, 2018.</w:t>
      </w:r>
    </w:p>
  </w:endnote>
  <w:endnote w:id="98">
    <w:p w14:paraId="46A783AB" w14:textId="0A129FD4"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Unger JB, Barker D,  Baezconde-Garbanati L, Soto, DW, Sussman, S. Support for electronic cigarette regulations among California voters. </w:t>
      </w:r>
      <w:r w:rsidRPr="001E1FB1">
        <w:rPr>
          <w:rFonts w:cs="Times New Roman"/>
          <w:i/>
          <w:sz w:val="18"/>
          <w:szCs w:val="18"/>
        </w:rPr>
        <w:t>Tob Control</w:t>
      </w:r>
      <w:r w:rsidRPr="001E1FB1">
        <w:rPr>
          <w:rFonts w:cs="Times New Roman"/>
          <w:sz w:val="18"/>
          <w:szCs w:val="18"/>
        </w:rPr>
        <w:t xml:space="preserve"> 2017; 26 :334–337 doi:10.1136/tobaccocontrol-2016-052918. Available at: </w:t>
      </w:r>
      <w:hyperlink r:id="rId61" w:history="1">
        <w:r w:rsidRPr="001E1FB1">
          <w:rPr>
            <w:rStyle w:val="Hyperlink"/>
            <w:rFonts w:cs="Times New Roman"/>
            <w:sz w:val="18"/>
            <w:szCs w:val="18"/>
            <w:u w:val="none"/>
          </w:rPr>
          <w:t>https://escholarship.org/uc/item/38f3z7zg</w:t>
        </w:r>
      </w:hyperlink>
      <w:r w:rsidRPr="001E1FB1">
        <w:rPr>
          <w:rFonts w:cs="Times New Roman"/>
          <w:sz w:val="18"/>
          <w:szCs w:val="18"/>
        </w:rPr>
        <w:t>. Accessed September 11, 2018.</w:t>
      </w:r>
    </w:p>
  </w:endnote>
  <w:endnote w:id="99">
    <w:p w14:paraId="237307BF" w14:textId="7A951EA5"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Table of Comprehensive Smokefree Policies. Center for Tobacco Policy and Organizing website. </w:t>
      </w:r>
      <w:hyperlink r:id="rId62" w:history="1">
        <w:r w:rsidRPr="001E1FB1">
          <w:rPr>
            <w:rStyle w:val="Hyperlink"/>
            <w:rFonts w:cs="Times New Roman"/>
            <w:sz w:val="18"/>
            <w:szCs w:val="18"/>
            <w:u w:val="none"/>
          </w:rPr>
          <w:t>https://center4tobaccopolicy.org/wp-content/uploads/2018/03/Table-of-Comprehensive-Outdoor-Secondhand-Smoke-Ordinances-2018-03-15.pdf</w:t>
        </w:r>
      </w:hyperlink>
      <w:r w:rsidRPr="001E1FB1">
        <w:rPr>
          <w:rStyle w:val="Hyperlink"/>
          <w:rFonts w:cs="Times New Roman"/>
          <w:sz w:val="18"/>
          <w:szCs w:val="18"/>
          <w:u w:val="none"/>
        </w:rPr>
        <w:t xml:space="preserve">. </w:t>
      </w:r>
      <w:r w:rsidRPr="001E1FB1">
        <w:rPr>
          <w:rStyle w:val="Hyperlink"/>
          <w:rFonts w:cs="Times New Roman"/>
          <w:color w:val="auto"/>
          <w:sz w:val="18"/>
          <w:szCs w:val="18"/>
          <w:u w:val="none"/>
        </w:rPr>
        <w:t>Accessed September 11, 2018.</w:t>
      </w:r>
      <w:r w:rsidRPr="001E1FB1">
        <w:rPr>
          <w:rFonts w:cs="Times New Roman"/>
          <w:color w:val="auto"/>
          <w:sz w:val="18"/>
          <w:szCs w:val="18"/>
        </w:rPr>
        <w:t xml:space="preserve"> </w:t>
      </w:r>
    </w:p>
  </w:endnote>
  <w:endnote w:id="100">
    <w:p w14:paraId="0EFCEEF3" w14:textId="078A4A25"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States and Municipalities with Laws Regulating Use of Electronic Cigarettes. Americans for Nonsmokers Rights website. </w:t>
      </w:r>
      <w:hyperlink r:id="rId63" w:history="1">
        <w:r w:rsidRPr="001E1FB1">
          <w:rPr>
            <w:rStyle w:val="Hyperlink"/>
            <w:rFonts w:cs="Times New Roman"/>
            <w:sz w:val="18"/>
            <w:szCs w:val="18"/>
            <w:u w:val="none"/>
          </w:rPr>
          <w:t>https://no-smoke.org/wp-content/uploads/pdf/ecigslaws.pdf</w:t>
        </w:r>
      </w:hyperlink>
      <w:r w:rsidRPr="001E1FB1">
        <w:rPr>
          <w:rFonts w:cs="Times New Roman"/>
          <w:sz w:val="18"/>
          <w:szCs w:val="18"/>
        </w:rPr>
        <w:t>. Accessed September 11, 2018.</w:t>
      </w:r>
    </w:p>
  </w:endnote>
  <w:endnote w:id="101">
    <w:p w14:paraId="6898D174" w14:textId="44C0DACD" w:rsidR="00377B4F" w:rsidRPr="001E1FB1" w:rsidRDefault="00377B4F" w:rsidP="00FC6552">
      <w:pPr>
        <w:pStyle w:val="EndnoteText"/>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List of Municipalities That Restrict Smoking in Recreation Areas. Center for Tobacco Policy and Organizing website. </w:t>
      </w:r>
      <w:hyperlink r:id="rId64" w:history="1">
        <w:r w:rsidRPr="001E1FB1">
          <w:rPr>
            <w:rStyle w:val="Hyperlink"/>
            <w:rFonts w:cs="Times New Roman"/>
            <w:sz w:val="18"/>
            <w:szCs w:val="18"/>
            <w:u w:val="none"/>
          </w:rPr>
          <w:t>https://center4tobaccopolicy.org/wp-content/uploads/2018/03/List-of-Municipalities-that-Restrict-Smoking-in-Recreation-Areas-2018-03-15.pdf</w:t>
        </w:r>
      </w:hyperlink>
      <w:r w:rsidRPr="001E1FB1">
        <w:rPr>
          <w:rFonts w:cs="Times New Roman"/>
          <w:sz w:val="18"/>
          <w:szCs w:val="18"/>
        </w:rPr>
        <w:t>. Accessed September 11, 2018.</w:t>
      </w:r>
    </w:p>
  </w:endnote>
  <w:endnote w:id="102">
    <w:p w14:paraId="3275B85A" w14:textId="490EF027" w:rsidR="00377B4F" w:rsidRPr="001E1FB1" w:rsidRDefault="00377B4F" w:rsidP="009F2EE3">
      <w:pPr>
        <w:pStyle w:val="EndnoteText"/>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List of Municipalities That Restrict Smoking in Outdoor Dining Areas. Center for Tobacco Policy and Organizing website. </w:t>
      </w:r>
      <w:hyperlink r:id="rId65" w:history="1">
        <w:r w:rsidRPr="001E1FB1">
          <w:rPr>
            <w:rStyle w:val="Hyperlink"/>
            <w:rFonts w:cs="Times New Roman"/>
            <w:sz w:val="18"/>
            <w:szCs w:val="18"/>
            <w:u w:val="none"/>
          </w:rPr>
          <w:t>https://center4tobaccopolicy.org/wp-content/uploads/2018/03/Municipalities-that-Restrict-Smoking-in-Outdoor-Dining-2018-03-15.pdf</w:t>
        </w:r>
      </w:hyperlink>
      <w:r w:rsidRPr="001E1FB1">
        <w:rPr>
          <w:rFonts w:cs="Times New Roman"/>
          <w:sz w:val="18"/>
          <w:szCs w:val="18"/>
        </w:rPr>
        <w:t>. Accessed September 11, 2018.</w:t>
      </w:r>
    </w:p>
  </w:endnote>
  <w:endnote w:id="103">
    <w:p w14:paraId="18679B79" w14:textId="0545082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List of Municipalities That Restrict Smoking in Entryways. Center for Tobacco Policy and Organizing website. </w:t>
      </w:r>
      <w:hyperlink r:id="rId66" w:history="1">
        <w:r w:rsidR="00FC6552" w:rsidRPr="00FC6552">
          <w:rPr>
            <w:rStyle w:val="Hyperlink"/>
            <w:rFonts w:cs="Times New Roman"/>
            <w:sz w:val="18"/>
            <w:szCs w:val="18"/>
            <w:u w:val="none"/>
          </w:rPr>
          <w:t>https://center4tobaccopolicy.org/wp-content/uploads/2018/03/Municipalities-that-Restrict-Smoking-in-Entryways-2018-03-15-1.pdf</w:t>
        </w:r>
      </w:hyperlink>
      <w:r w:rsidRPr="00FC6552">
        <w:rPr>
          <w:rFonts w:cs="Times New Roman"/>
          <w:sz w:val="18"/>
          <w:szCs w:val="18"/>
        </w:rPr>
        <w:t>.</w:t>
      </w:r>
      <w:r w:rsidRPr="001E1FB1">
        <w:rPr>
          <w:rFonts w:cs="Times New Roman"/>
          <w:sz w:val="18"/>
          <w:szCs w:val="18"/>
        </w:rPr>
        <w:t xml:space="preserve"> Accessed September 11, 2018. </w:t>
      </w:r>
    </w:p>
  </w:endnote>
  <w:endnote w:id="104">
    <w:p w14:paraId="59C43777" w14:textId="250D9ACC"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w:t>
      </w:r>
      <w:r w:rsidRPr="001E1FB1">
        <w:rPr>
          <w:rFonts w:cs="Times New Roman"/>
          <w:iCs/>
          <w:sz w:val="18"/>
          <w:szCs w:val="18"/>
        </w:rPr>
        <w:t>There is No Constitutional Right to Smoke, CA Version</w:t>
      </w:r>
      <w:r w:rsidRPr="001E1FB1">
        <w:rPr>
          <w:rFonts w:cs="Times New Roman"/>
          <w:sz w:val="18"/>
          <w:szCs w:val="18"/>
        </w:rPr>
        <w:t>. ChangeLab Solutions website. Available at:</w:t>
      </w:r>
      <w:r w:rsidRPr="001E1FB1">
        <w:rPr>
          <w:rFonts w:cs="Times New Roman"/>
          <w:i/>
          <w:sz w:val="18"/>
          <w:szCs w:val="18"/>
        </w:rPr>
        <w:t xml:space="preserve"> </w:t>
      </w:r>
      <w:hyperlink r:id="rId67" w:history="1">
        <w:r w:rsidRPr="00FC6552">
          <w:rPr>
            <w:rStyle w:val="Hyperlink"/>
            <w:rFonts w:cs="Times New Roman"/>
            <w:sz w:val="18"/>
            <w:szCs w:val="18"/>
            <w:u w:val="none"/>
          </w:rPr>
          <w:t>http://changelabsolutions.org/publications/no-right-to-smoke-CA</w:t>
        </w:r>
      </w:hyperlink>
      <w:r w:rsidRPr="00FC6552">
        <w:rPr>
          <w:rFonts w:cs="Times New Roman"/>
          <w:sz w:val="18"/>
          <w:szCs w:val="18"/>
        </w:rPr>
        <w:t>.</w:t>
      </w:r>
      <w:r w:rsidRPr="001E1FB1">
        <w:rPr>
          <w:rFonts w:cs="Times New Roman"/>
          <w:sz w:val="18"/>
          <w:szCs w:val="18"/>
        </w:rPr>
        <w:t xml:space="preserve"> Accessed September 11,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Times-Roman">
    <w:altName w:val="Times"/>
    <w:charset w:val="00"/>
    <w:family w:val="auto"/>
    <w:pitch w:val="variable"/>
    <w:sig w:usb0="00000001" w:usb1="00000000" w:usb2="00000000" w:usb3="00000000" w:csb0="00000007" w:csb1="00000000"/>
  </w:font>
  <w:font w:name="Times-Italic">
    <w:altName w:val="Times"/>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Hebrew">
    <w:panose1 w:val="00000000000000000000"/>
    <w:charset w:val="B1"/>
    <w:family w:val="auto"/>
    <w:pitch w:val="variable"/>
    <w:sig w:usb0="80000843" w:usb1="40002002" w:usb2="00000000" w:usb3="00000000" w:csb0="0000002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F2D9" w14:textId="77777777" w:rsidR="00377B4F" w:rsidRPr="00837C26" w:rsidRDefault="00377B4F" w:rsidP="00837C26">
    <w:pPr>
      <w:pStyle w:val="NormalText"/>
      <w:ind w:firstLine="0"/>
      <w:rPr>
        <w:i/>
        <w:color w:val="767878"/>
        <w:sz w:val="20"/>
      </w:rPr>
    </w:pPr>
    <w:r>
      <w:rPr>
        <w:i/>
        <w:color w:val="767878"/>
        <w:sz w:val="20"/>
      </w:rPr>
      <w:t>Comprehensive Smokefree [and</w:t>
    </w:r>
    <w:r w:rsidRPr="00A250CF">
      <w:rPr>
        <w:i/>
        <w:color w:val="767878"/>
        <w:sz w:val="20"/>
      </w:rPr>
      <w:t xml:space="preserve"> Tobacco </w:t>
    </w:r>
    <w:r>
      <w:rPr>
        <w:i/>
        <w:color w:val="767878"/>
        <w:sz w:val="20"/>
      </w:rPr>
      <w:t>Free] Places Ordinance</w:t>
    </w:r>
    <w:r>
      <w:rPr>
        <w:i/>
        <w:color w:val="767878"/>
        <w:sz w:val="20"/>
      </w:rPr>
      <w:tab/>
      <w:t xml:space="preserve">             </w:t>
    </w:r>
    <w:r w:rsidRPr="00D75BD1">
      <w:rPr>
        <w:rFonts w:ascii="Arial" w:hAnsi="Arial" w:cs="Arial"/>
        <w:color w:val="0070C0"/>
        <w:sz w:val="19"/>
        <w:szCs w:val="19"/>
      </w:rPr>
      <w:t>changelabsolutions.org</w:t>
    </w:r>
    <w:r>
      <w:rPr>
        <w:rStyle w:val="PageNumber"/>
        <w:i/>
      </w:rPr>
      <w:t xml:space="preserve">              </w:t>
    </w:r>
    <w:r w:rsidRPr="00D75BD1">
      <w:rPr>
        <w:rStyle w:val="PageNumber"/>
        <w:rFonts w:ascii="Arial Hebrew" w:hAnsi="Arial Hebrew"/>
        <w:i/>
        <w:sz w:val="20"/>
      </w:rPr>
      <w:t xml:space="preserve"> </w:t>
    </w:r>
    <w:r w:rsidRPr="002F4D52">
      <w:rPr>
        <w:rStyle w:val="PageNumber"/>
        <w:rFonts w:ascii="Times New Roman" w:hAnsi="Times New Roman"/>
        <w:b/>
        <w:i/>
        <w:sz w:val="20"/>
      </w:rPr>
      <w:fldChar w:fldCharType="begin"/>
    </w:r>
    <w:r w:rsidRPr="002F4D52">
      <w:rPr>
        <w:rStyle w:val="PageNumber"/>
        <w:rFonts w:ascii="Times New Roman" w:hAnsi="Times New Roman"/>
        <w:b/>
        <w:i/>
        <w:sz w:val="20"/>
      </w:rPr>
      <w:instrText xml:space="preserve"> PAGE </w:instrText>
    </w:r>
    <w:r w:rsidRPr="002F4D52">
      <w:rPr>
        <w:rStyle w:val="PageNumber"/>
        <w:rFonts w:ascii="Times New Roman" w:hAnsi="Times New Roman"/>
        <w:b/>
        <w:i/>
        <w:sz w:val="20"/>
      </w:rPr>
      <w:fldChar w:fldCharType="separate"/>
    </w:r>
    <w:r w:rsidR="00F2205E">
      <w:rPr>
        <w:rStyle w:val="PageNumber"/>
        <w:rFonts w:ascii="Times New Roman" w:hAnsi="Times New Roman"/>
        <w:b/>
        <w:i/>
        <w:noProof/>
        <w:sz w:val="20"/>
      </w:rPr>
      <w:t>2</w:t>
    </w:r>
    <w:r w:rsidRPr="002F4D52">
      <w:rPr>
        <w:rStyle w:val="PageNumber"/>
        <w:rFonts w:ascii="Times New Roman" w:hAnsi="Times New Roman"/>
        <w:b/>
        <w:i/>
        <w:sz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08EDB" w14:textId="77777777" w:rsidR="00377B4F" w:rsidRDefault="00377B4F" w:rsidP="00932120">
    <w:pPr>
      <w:spacing w:after="240"/>
      <w:ind w:left="1890"/>
      <w:rPr>
        <w:rFonts w:ascii="Arial" w:hAnsi="Arial"/>
        <w:color w:val="464847"/>
      </w:rPr>
    </w:pPr>
  </w:p>
  <w:p w14:paraId="1515461F" w14:textId="77777777" w:rsidR="00377B4F" w:rsidRPr="00240E4E" w:rsidRDefault="00377B4F" w:rsidP="00CF3D9D">
    <w:pPr>
      <w:pStyle w:val="nPlancovertext"/>
      <w:tabs>
        <w:tab w:val="left" w:pos="1980"/>
        <w:tab w:val="left" w:pos="5784"/>
      </w:tabs>
      <w:ind w:left="1980"/>
      <w:rPr>
        <w:rFonts w:cs="Lucida Grande"/>
        <w:color w:val="0070C0"/>
        <w:sz w:val="20"/>
        <w:szCs w:val="20"/>
      </w:rPr>
    </w:pPr>
    <w:r w:rsidRPr="00240E4E">
      <w:rPr>
        <w:rFonts w:ascii="Arial" w:hAnsi="Arial"/>
        <w:color w:val="0070C0"/>
        <w:sz w:val="20"/>
        <w:szCs w:val="20"/>
      </w:rPr>
      <w:t xml:space="preserve">changelabsolutions.org/tobaccoquestions    </w:t>
    </w:r>
  </w:p>
  <w:p w14:paraId="6C2FCFBA" w14:textId="77777777" w:rsidR="00377B4F" w:rsidRDefault="00377B4F" w:rsidP="00D93B5B">
    <w:pPr>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19B7C" w14:textId="77777777" w:rsidR="00746985" w:rsidRDefault="00746985" w:rsidP="007F3AE1">
      <w:pPr>
        <w:spacing w:line="240" w:lineRule="auto"/>
      </w:pPr>
      <w:r>
        <w:separator/>
      </w:r>
    </w:p>
  </w:footnote>
  <w:footnote w:type="continuationSeparator" w:id="0">
    <w:p w14:paraId="7F6AD782" w14:textId="77777777" w:rsidR="00746985" w:rsidRDefault="00746985" w:rsidP="007F3AE1">
      <w:pPr>
        <w:spacing w:line="240" w:lineRule="auto"/>
      </w:pPr>
      <w:r>
        <w:continuationSeparator/>
      </w:r>
    </w:p>
  </w:footnote>
  <w:footnote w:type="continuationNotice" w:id="1">
    <w:p w14:paraId="1B3FFD81" w14:textId="77777777" w:rsidR="00746985" w:rsidRDefault="00746985">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96D79" w14:textId="77777777" w:rsidR="00377B4F" w:rsidRPr="004846CA" w:rsidRDefault="00377B4F" w:rsidP="004846CA">
    <w:pPr>
      <w:tabs>
        <w:tab w:val="right" w:pos="8914"/>
      </w:tabs>
      <w:spacing w:line="480" w:lineRule="auto"/>
      <w:ind w:left="5400" w:firstLine="3514"/>
      <w:rPr>
        <w:b/>
      </w:rPr>
    </w:pPr>
    <w:r w:rsidRPr="00837C26">
      <w:rPr>
        <w:noProof/>
      </w:rPr>
      <w:drawing>
        <wp:anchor distT="0" distB="0" distL="114300" distR="114300" simplePos="0" relativeHeight="251656704" behindDoc="1" locked="0" layoutInCell="1" allowOverlap="1" wp14:anchorId="7BF21D5D" wp14:editId="125D6D87">
          <wp:simplePos x="0" y="0"/>
          <wp:positionH relativeFrom="column">
            <wp:posOffset>-62865</wp:posOffset>
          </wp:positionH>
          <wp:positionV relativeFrom="paragraph">
            <wp:posOffset>231140</wp:posOffset>
          </wp:positionV>
          <wp:extent cx="2125134" cy="533400"/>
          <wp:effectExtent l="25400" t="0" r="8466" b="0"/>
          <wp:wrapNone/>
          <wp:docPr id="2"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r>
      <w:rPr>
        <w:b/>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C4711" w14:textId="77777777" w:rsidR="00377B4F" w:rsidRDefault="00377B4F" w:rsidP="00B95110">
    <w:pPr>
      <w:ind w:left="-1800"/>
      <w:rPr>
        <w:noProof/>
      </w:rPr>
    </w:pPr>
  </w:p>
  <w:p w14:paraId="376F2FAB" w14:textId="77777777" w:rsidR="00377B4F" w:rsidRDefault="00377B4F" w:rsidP="00B95110">
    <w:pPr>
      <w:ind w:left="-1800"/>
    </w:pPr>
    <w:r>
      <w:rPr>
        <w:noProof/>
      </w:rPr>
      <w:drawing>
        <wp:anchor distT="0" distB="0" distL="114300" distR="114300" simplePos="0" relativeHeight="251657728" behindDoc="1" locked="0" layoutInCell="1" allowOverlap="1" wp14:anchorId="253F8785" wp14:editId="113ECAFE">
          <wp:simplePos x="0" y="0"/>
          <wp:positionH relativeFrom="column">
            <wp:posOffset>50800</wp:posOffset>
          </wp:positionH>
          <wp:positionV relativeFrom="paragraph">
            <wp:posOffset>167640</wp:posOffset>
          </wp:positionV>
          <wp:extent cx="4102735" cy="1104900"/>
          <wp:effectExtent l="25400" t="0" r="12065" b="0"/>
          <wp:wrapNone/>
          <wp:docPr id="5"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3F847A74" w14:textId="77777777" w:rsidR="00377B4F" w:rsidRDefault="00377B4F" w:rsidP="00B95110">
    <w:pPr>
      <w:ind w:left="-1800"/>
    </w:pPr>
  </w:p>
  <w:p w14:paraId="585A8AFB" w14:textId="77777777" w:rsidR="00377B4F" w:rsidRDefault="00377B4F" w:rsidP="00B95110">
    <w:pPr>
      <w:ind w:left="-1800"/>
    </w:pPr>
  </w:p>
  <w:p w14:paraId="2492AD08" w14:textId="77777777" w:rsidR="00377B4F" w:rsidRDefault="00377B4F" w:rsidP="00B95110">
    <w:pPr>
      <w:ind w:left="-1800"/>
    </w:pPr>
  </w:p>
  <w:p w14:paraId="2A04CA53" w14:textId="77777777" w:rsidR="00377B4F" w:rsidRDefault="00377B4F"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53E4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2">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3">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4">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5">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1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name w:val="WWNum1"/>
    <w:lvl w:ilvl="0">
      <w:start w:val="1"/>
      <w:numFmt w:val="bullet"/>
      <w:lvlText w:val=""/>
      <w:lvlJc w:val="left"/>
      <w:pPr>
        <w:tabs>
          <w:tab w:val="num" w:pos="360"/>
        </w:tabs>
        <w:ind w:left="36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2.%3."/>
      <w:lvlJc w:val="left"/>
      <w:pPr>
        <w:tabs>
          <w:tab w:val="num" w:pos="1800"/>
        </w:tabs>
        <w:ind w:left="1800" w:hanging="360"/>
      </w:pPr>
    </w:lvl>
    <w:lvl w:ilvl="3">
      <w:start w:val="1"/>
      <w:numFmt w:val="decimal"/>
      <w:lvlText w:val="%2.%3.%4."/>
      <w:lvlJc w:val="left"/>
      <w:pPr>
        <w:tabs>
          <w:tab w:val="num" w:pos="2520"/>
        </w:tabs>
        <w:ind w:left="2520" w:hanging="360"/>
      </w:pPr>
    </w:lvl>
    <w:lvl w:ilvl="4">
      <w:start w:val="1"/>
      <w:numFmt w:val="decimal"/>
      <w:lvlText w:val="%2.%3.%4.%5."/>
      <w:lvlJc w:val="left"/>
      <w:pPr>
        <w:tabs>
          <w:tab w:val="num" w:pos="3240"/>
        </w:tabs>
        <w:ind w:left="3240" w:hanging="360"/>
      </w:pPr>
    </w:lvl>
    <w:lvl w:ilvl="5">
      <w:start w:val="1"/>
      <w:numFmt w:val="decimal"/>
      <w:lvlText w:val="%2.%3.%4.%5.%6."/>
      <w:lvlJc w:val="left"/>
      <w:pPr>
        <w:tabs>
          <w:tab w:val="num" w:pos="3960"/>
        </w:tabs>
        <w:ind w:left="3960" w:hanging="360"/>
      </w:pPr>
    </w:lvl>
    <w:lvl w:ilvl="6">
      <w:start w:val="1"/>
      <w:numFmt w:val="decimal"/>
      <w:lvlText w:val="%2.%3.%4.%5.%6.%7."/>
      <w:lvlJc w:val="left"/>
      <w:pPr>
        <w:tabs>
          <w:tab w:val="num" w:pos="4680"/>
        </w:tabs>
        <w:ind w:left="4680" w:hanging="360"/>
      </w:pPr>
    </w:lvl>
    <w:lvl w:ilvl="7">
      <w:start w:val="1"/>
      <w:numFmt w:val="decimal"/>
      <w:lvlText w:val="%2.%3.%4.%5.%6.%7.%8."/>
      <w:lvlJc w:val="left"/>
      <w:pPr>
        <w:tabs>
          <w:tab w:val="num" w:pos="5400"/>
        </w:tabs>
        <w:ind w:left="5400" w:hanging="360"/>
      </w:pPr>
    </w:lvl>
    <w:lvl w:ilvl="8">
      <w:start w:val="1"/>
      <w:numFmt w:val="decimal"/>
      <w:lvlText w:val="%2.%3.%4.%5.%6.%7.%8.%9."/>
      <w:lvlJc w:val="left"/>
      <w:pPr>
        <w:tabs>
          <w:tab w:val="num" w:pos="6120"/>
        </w:tabs>
        <w:ind w:left="6120" w:hanging="360"/>
      </w:pPr>
    </w:lvl>
  </w:abstractNum>
  <w:abstractNum w:abstractNumId="12">
    <w:nsid w:val="0C636C6E"/>
    <w:multiLevelType w:val="hybridMultilevel"/>
    <w:tmpl w:val="8DB03904"/>
    <w:lvl w:ilvl="0" w:tplc="B7EA0EEA">
      <w:start w:val="1"/>
      <w:numFmt w:val="bullet"/>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201BC5"/>
    <w:multiLevelType w:val="hybridMultilevel"/>
    <w:tmpl w:val="16C24DC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Symbol"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Symbol"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Symbol" w:hint="default"/>
      </w:rPr>
    </w:lvl>
    <w:lvl w:ilvl="8" w:tplc="04090005" w:tentative="1">
      <w:start w:val="1"/>
      <w:numFmt w:val="bullet"/>
      <w:lvlText w:val=""/>
      <w:lvlJc w:val="left"/>
      <w:pPr>
        <w:ind w:left="6520" w:hanging="360"/>
      </w:pPr>
      <w:rPr>
        <w:rFonts w:ascii="Wingdings" w:hAnsi="Wingdings" w:hint="default"/>
      </w:rPr>
    </w:lvl>
  </w:abstractNum>
  <w:abstractNum w:abstractNumId="14">
    <w:nsid w:val="25B71893"/>
    <w:multiLevelType w:val="hybridMultilevel"/>
    <w:tmpl w:val="3CD64E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D0823ED"/>
    <w:multiLevelType w:val="hybridMultilevel"/>
    <w:tmpl w:val="F50C6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42603F"/>
    <w:multiLevelType w:val="hybridMultilevel"/>
    <w:tmpl w:val="1C94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F329C3"/>
    <w:multiLevelType w:val="hybridMultilevel"/>
    <w:tmpl w:val="31F4B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1734882"/>
    <w:multiLevelType w:val="hybridMultilevel"/>
    <w:tmpl w:val="F0A8F1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6D07674A"/>
    <w:multiLevelType w:val="hybridMultilevel"/>
    <w:tmpl w:val="BEB4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F149B8"/>
    <w:multiLevelType w:val="hybridMultilevel"/>
    <w:tmpl w:val="CF0C7B8E"/>
    <w:lvl w:ilvl="0" w:tplc="873449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6A2FDF"/>
    <w:multiLevelType w:val="hybridMultilevel"/>
    <w:tmpl w:val="FEFC8DAC"/>
    <w:lvl w:ilvl="0" w:tplc="3866235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7504615F"/>
    <w:multiLevelType w:val="hybridMultilevel"/>
    <w:tmpl w:val="6214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5F1163"/>
    <w:multiLevelType w:val="hybridMultilevel"/>
    <w:tmpl w:val="76F4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455C0D"/>
    <w:multiLevelType w:val="hybridMultilevel"/>
    <w:tmpl w:val="6F9C19F8"/>
    <w:lvl w:ilvl="0" w:tplc="FFFFFFFF">
      <w:start w:val="1"/>
      <w:numFmt w:val="decimal"/>
      <w:pStyle w:val="bullets1"/>
      <w:lvlText w:val="%1."/>
      <w:lvlJc w:val="left"/>
      <w:pPr>
        <w:ind w:left="432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BCE7019"/>
    <w:multiLevelType w:val="hybridMultilevel"/>
    <w:tmpl w:val="ECEE057A"/>
    <w:lvl w:ilvl="0" w:tplc="608A179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9D50BF"/>
    <w:multiLevelType w:val="hybridMultilevel"/>
    <w:tmpl w:val="F4BA1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5"/>
  </w:num>
  <w:num w:numId="7">
    <w:abstractNumId w:val="18"/>
  </w:num>
  <w:num w:numId="8">
    <w:abstractNumId w:val="10"/>
  </w:num>
  <w:num w:numId="9">
    <w:abstractNumId w:val="8"/>
  </w:num>
  <w:num w:numId="10">
    <w:abstractNumId w:val="7"/>
  </w:num>
  <w:num w:numId="11">
    <w:abstractNumId w:val="6"/>
  </w:num>
  <w:num w:numId="12">
    <w:abstractNumId w:val="5"/>
  </w:num>
  <w:num w:numId="13">
    <w:abstractNumId w:val="13"/>
  </w:num>
  <w:num w:numId="14">
    <w:abstractNumId w:val="28"/>
  </w:num>
  <w:num w:numId="15">
    <w:abstractNumId w:val="17"/>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4"/>
  </w:num>
  <w:num w:numId="19">
    <w:abstractNumId w:val="21"/>
  </w:num>
  <w:num w:numId="20">
    <w:abstractNumId w:val="20"/>
  </w:num>
  <w:num w:numId="21">
    <w:abstractNumId w:val="26"/>
  </w:num>
  <w:num w:numId="22">
    <w:abstractNumId w:val="16"/>
  </w:num>
  <w:num w:numId="23">
    <w:abstractNumId w:val="19"/>
  </w:num>
  <w:num w:numId="24">
    <w:abstractNumId w:val="12"/>
  </w:num>
  <w:num w:numId="25">
    <w:abstractNumId w:val="22"/>
  </w:num>
  <w:num w:numId="26">
    <w:abstractNumId w:val="25"/>
  </w:num>
  <w:num w:numId="27">
    <w:abstractNumId w:val="2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embedSystemFonts/>
  <w:hideSpellingErrors/>
  <w:hideGrammaticalError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8c8e8e"/>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37D3"/>
    <w:rsid w:val="000041AD"/>
    <w:rsid w:val="000049F8"/>
    <w:rsid w:val="00004BF6"/>
    <w:rsid w:val="00010590"/>
    <w:rsid w:val="000109B0"/>
    <w:rsid w:val="00010BE4"/>
    <w:rsid w:val="00010DD9"/>
    <w:rsid w:val="00014051"/>
    <w:rsid w:val="00014F9B"/>
    <w:rsid w:val="000152E8"/>
    <w:rsid w:val="00022250"/>
    <w:rsid w:val="00022C25"/>
    <w:rsid w:val="000240E9"/>
    <w:rsid w:val="00024F7A"/>
    <w:rsid w:val="00025945"/>
    <w:rsid w:val="00027204"/>
    <w:rsid w:val="000310EC"/>
    <w:rsid w:val="000323D1"/>
    <w:rsid w:val="000325E2"/>
    <w:rsid w:val="0003385D"/>
    <w:rsid w:val="000409E1"/>
    <w:rsid w:val="00040CAF"/>
    <w:rsid w:val="00041E04"/>
    <w:rsid w:val="000440FA"/>
    <w:rsid w:val="0004676A"/>
    <w:rsid w:val="000519D6"/>
    <w:rsid w:val="0005736A"/>
    <w:rsid w:val="00063B41"/>
    <w:rsid w:val="00066478"/>
    <w:rsid w:val="00070B20"/>
    <w:rsid w:val="000720AF"/>
    <w:rsid w:val="0007621F"/>
    <w:rsid w:val="000763EB"/>
    <w:rsid w:val="00076AA9"/>
    <w:rsid w:val="00077540"/>
    <w:rsid w:val="0007766A"/>
    <w:rsid w:val="00080A02"/>
    <w:rsid w:val="00081778"/>
    <w:rsid w:val="00083509"/>
    <w:rsid w:val="00083F23"/>
    <w:rsid w:val="00085B44"/>
    <w:rsid w:val="00085C67"/>
    <w:rsid w:val="00093F24"/>
    <w:rsid w:val="0009513B"/>
    <w:rsid w:val="00096332"/>
    <w:rsid w:val="000963F2"/>
    <w:rsid w:val="00096CEC"/>
    <w:rsid w:val="000A64D1"/>
    <w:rsid w:val="000A78D9"/>
    <w:rsid w:val="000B16E9"/>
    <w:rsid w:val="000B1FF0"/>
    <w:rsid w:val="000B3BC4"/>
    <w:rsid w:val="000B4DEF"/>
    <w:rsid w:val="000B6E98"/>
    <w:rsid w:val="000C037F"/>
    <w:rsid w:val="000C508C"/>
    <w:rsid w:val="000C59E2"/>
    <w:rsid w:val="000C7122"/>
    <w:rsid w:val="000D043F"/>
    <w:rsid w:val="000D40A7"/>
    <w:rsid w:val="000D5548"/>
    <w:rsid w:val="000D599F"/>
    <w:rsid w:val="000E6D5C"/>
    <w:rsid w:val="000F15BD"/>
    <w:rsid w:val="000F17FC"/>
    <w:rsid w:val="000F2473"/>
    <w:rsid w:val="000F277C"/>
    <w:rsid w:val="000F5BEA"/>
    <w:rsid w:val="000F5C02"/>
    <w:rsid w:val="000F76A4"/>
    <w:rsid w:val="0010016F"/>
    <w:rsid w:val="0010044D"/>
    <w:rsid w:val="001011CA"/>
    <w:rsid w:val="00101E94"/>
    <w:rsid w:val="00103E97"/>
    <w:rsid w:val="0010683F"/>
    <w:rsid w:val="00106F83"/>
    <w:rsid w:val="00107C79"/>
    <w:rsid w:val="00113809"/>
    <w:rsid w:val="001144FA"/>
    <w:rsid w:val="00114C02"/>
    <w:rsid w:val="00114EC2"/>
    <w:rsid w:val="00115E8A"/>
    <w:rsid w:val="00123FA2"/>
    <w:rsid w:val="00124AB7"/>
    <w:rsid w:val="0012543B"/>
    <w:rsid w:val="00126E67"/>
    <w:rsid w:val="00132276"/>
    <w:rsid w:val="00132E0A"/>
    <w:rsid w:val="001335FC"/>
    <w:rsid w:val="00133725"/>
    <w:rsid w:val="001347C1"/>
    <w:rsid w:val="00135157"/>
    <w:rsid w:val="00135655"/>
    <w:rsid w:val="00135FD0"/>
    <w:rsid w:val="0013640D"/>
    <w:rsid w:val="00137027"/>
    <w:rsid w:val="00143727"/>
    <w:rsid w:val="00145DDA"/>
    <w:rsid w:val="001477B6"/>
    <w:rsid w:val="0015063C"/>
    <w:rsid w:val="00154C56"/>
    <w:rsid w:val="00154DA4"/>
    <w:rsid w:val="00160310"/>
    <w:rsid w:val="00162005"/>
    <w:rsid w:val="001639F8"/>
    <w:rsid w:val="001644CC"/>
    <w:rsid w:val="00165976"/>
    <w:rsid w:val="00167304"/>
    <w:rsid w:val="00167786"/>
    <w:rsid w:val="00167B09"/>
    <w:rsid w:val="001712DC"/>
    <w:rsid w:val="001734B9"/>
    <w:rsid w:val="00185BB9"/>
    <w:rsid w:val="001864C2"/>
    <w:rsid w:val="001867FD"/>
    <w:rsid w:val="00192228"/>
    <w:rsid w:val="00193192"/>
    <w:rsid w:val="00194043"/>
    <w:rsid w:val="001966C1"/>
    <w:rsid w:val="001A1F43"/>
    <w:rsid w:val="001A71B1"/>
    <w:rsid w:val="001A7EB0"/>
    <w:rsid w:val="001B0E1F"/>
    <w:rsid w:val="001B15FC"/>
    <w:rsid w:val="001B1B7A"/>
    <w:rsid w:val="001B2CB9"/>
    <w:rsid w:val="001B3926"/>
    <w:rsid w:val="001B41CD"/>
    <w:rsid w:val="001B46E8"/>
    <w:rsid w:val="001B491D"/>
    <w:rsid w:val="001B508C"/>
    <w:rsid w:val="001B785B"/>
    <w:rsid w:val="001C0E01"/>
    <w:rsid w:val="001C0EBA"/>
    <w:rsid w:val="001C1019"/>
    <w:rsid w:val="001C1EEF"/>
    <w:rsid w:val="001C3925"/>
    <w:rsid w:val="001C4985"/>
    <w:rsid w:val="001C7DC2"/>
    <w:rsid w:val="001D07B8"/>
    <w:rsid w:val="001D08AE"/>
    <w:rsid w:val="001D26B5"/>
    <w:rsid w:val="001D6BDE"/>
    <w:rsid w:val="001D73BC"/>
    <w:rsid w:val="001E1347"/>
    <w:rsid w:val="001E1875"/>
    <w:rsid w:val="001E1FB1"/>
    <w:rsid w:val="001E726E"/>
    <w:rsid w:val="001F2F38"/>
    <w:rsid w:val="001F46E5"/>
    <w:rsid w:val="001F5F45"/>
    <w:rsid w:val="001F6323"/>
    <w:rsid w:val="001F770A"/>
    <w:rsid w:val="00201A05"/>
    <w:rsid w:val="0020578E"/>
    <w:rsid w:val="00207082"/>
    <w:rsid w:val="00213A14"/>
    <w:rsid w:val="0021795D"/>
    <w:rsid w:val="002209D5"/>
    <w:rsid w:val="00224F7E"/>
    <w:rsid w:val="00225832"/>
    <w:rsid w:val="00225CE6"/>
    <w:rsid w:val="002268A0"/>
    <w:rsid w:val="00232EA9"/>
    <w:rsid w:val="0023405E"/>
    <w:rsid w:val="00236AB5"/>
    <w:rsid w:val="00241118"/>
    <w:rsid w:val="002435DD"/>
    <w:rsid w:val="00244190"/>
    <w:rsid w:val="00245485"/>
    <w:rsid w:val="00245B7B"/>
    <w:rsid w:val="002460DD"/>
    <w:rsid w:val="00246861"/>
    <w:rsid w:val="00246C5A"/>
    <w:rsid w:val="00251410"/>
    <w:rsid w:val="00253B0E"/>
    <w:rsid w:val="00263F18"/>
    <w:rsid w:val="0026568C"/>
    <w:rsid w:val="00265812"/>
    <w:rsid w:val="00265A16"/>
    <w:rsid w:val="002739AD"/>
    <w:rsid w:val="0028394B"/>
    <w:rsid w:val="00283F4E"/>
    <w:rsid w:val="0028434D"/>
    <w:rsid w:val="00284B9F"/>
    <w:rsid w:val="00285A77"/>
    <w:rsid w:val="0028664E"/>
    <w:rsid w:val="002905D0"/>
    <w:rsid w:val="00292D18"/>
    <w:rsid w:val="00292F41"/>
    <w:rsid w:val="002933BA"/>
    <w:rsid w:val="0029708A"/>
    <w:rsid w:val="00297576"/>
    <w:rsid w:val="00297AEA"/>
    <w:rsid w:val="002A073D"/>
    <w:rsid w:val="002A0C25"/>
    <w:rsid w:val="002A46F8"/>
    <w:rsid w:val="002A475E"/>
    <w:rsid w:val="002A58D1"/>
    <w:rsid w:val="002A663D"/>
    <w:rsid w:val="002A6F33"/>
    <w:rsid w:val="002A73D4"/>
    <w:rsid w:val="002A7DDA"/>
    <w:rsid w:val="002B02B9"/>
    <w:rsid w:val="002B03F1"/>
    <w:rsid w:val="002B0DA9"/>
    <w:rsid w:val="002B2813"/>
    <w:rsid w:val="002B2B81"/>
    <w:rsid w:val="002B3950"/>
    <w:rsid w:val="002B39D6"/>
    <w:rsid w:val="002B5041"/>
    <w:rsid w:val="002D3BAB"/>
    <w:rsid w:val="002D43C3"/>
    <w:rsid w:val="002D4AA7"/>
    <w:rsid w:val="002D50C7"/>
    <w:rsid w:val="002D5FF2"/>
    <w:rsid w:val="002E1346"/>
    <w:rsid w:val="002E18B9"/>
    <w:rsid w:val="002E4265"/>
    <w:rsid w:val="002E4FD5"/>
    <w:rsid w:val="002E6716"/>
    <w:rsid w:val="002F31E4"/>
    <w:rsid w:val="002F4512"/>
    <w:rsid w:val="002F4D52"/>
    <w:rsid w:val="002F4ED4"/>
    <w:rsid w:val="002F50E7"/>
    <w:rsid w:val="0030135F"/>
    <w:rsid w:val="00302258"/>
    <w:rsid w:val="0030408E"/>
    <w:rsid w:val="00304C7C"/>
    <w:rsid w:val="00305446"/>
    <w:rsid w:val="00307603"/>
    <w:rsid w:val="00315047"/>
    <w:rsid w:val="00326F8C"/>
    <w:rsid w:val="003273C8"/>
    <w:rsid w:val="003276C3"/>
    <w:rsid w:val="00330185"/>
    <w:rsid w:val="00330953"/>
    <w:rsid w:val="0033131D"/>
    <w:rsid w:val="00333DC6"/>
    <w:rsid w:val="00336669"/>
    <w:rsid w:val="00336996"/>
    <w:rsid w:val="0034212B"/>
    <w:rsid w:val="00342174"/>
    <w:rsid w:val="003605E4"/>
    <w:rsid w:val="00360777"/>
    <w:rsid w:val="00363DBD"/>
    <w:rsid w:val="00372F10"/>
    <w:rsid w:val="00373060"/>
    <w:rsid w:val="00373805"/>
    <w:rsid w:val="00374ECC"/>
    <w:rsid w:val="00376769"/>
    <w:rsid w:val="00377B4F"/>
    <w:rsid w:val="00383172"/>
    <w:rsid w:val="00384B83"/>
    <w:rsid w:val="00385DDA"/>
    <w:rsid w:val="00386AF6"/>
    <w:rsid w:val="00386E7D"/>
    <w:rsid w:val="0038736E"/>
    <w:rsid w:val="00387745"/>
    <w:rsid w:val="00390BB7"/>
    <w:rsid w:val="00392B3E"/>
    <w:rsid w:val="00392DA9"/>
    <w:rsid w:val="003945B4"/>
    <w:rsid w:val="00395B5C"/>
    <w:rsid w:val="00397299"/>
    <w:rsid w:val="003A04A3"/>
    <w:rsid w:val="003A3736"/>
    <w:rsid w:val="003A384E"/>
    <w:rsid w:val="003A4F9B"/>
    <w:rsid w:val="003A6413"/>
    <w:rsid w:val="003A7118"/>
    <w:rsid w:val="003B008E"/>
    <w:rsid w:val="003B0C7C"/>
    <w:rsid w:val="003B5C5F"/>
    <w:rsid w:val="003B6FE8"/>
    <w:rsid w:val="003C12F9"/>
    <w:rsid w:val="003C6678"/>
    <w:rsid w:val="003C69FD"/>
    <w:rsid w:val="003C7805"/>
    <w:rsid w:val="003D02F7"/>
    <w:rsid w:val="003D1004"/>
    <w:rsid w:val="003D4718"/>
    <w:rsid w:val="003D7C0F"/>
    <w:rsid w:val="003E0B3A"/>
    <w:rsid w:val="003E0FD0"/>
    <w:rsid w:val="003E141C"/>
    <w:rsid w:val="003E1A4C"/>
    <w:rsid w:val="003E2EB9"/>
    <w:rsid w:val="003E6D26"/>
    <w:rsid w:val="003E6FB1"/>
    <w:rsid w:val="003E7F8D"/>
    <w:rsid w:val="003F0406"/>
    <w:rsid w:val="003F2E03"/>
    <w:rsid w:val="003F4808"/>
    <w:rsid w:val="003F616B"/>
    <w:rsid w:val="00402383"/>
    <w:rsid w:val="004023B3"/>
    <w:rsid w:val="00403CB6"/>
    <w:rsid w:val="004104C8"/>
    <w:rsid w:val="0041107F"/>
    <w:rsid w:val="004213EC"/>
    <w:rsid w:val="004226A7"/>
    <w:rsid w:val="004227EE"/>
    <w:rsid w:val="00423ECC"/>
    <w:rsid w:val="004241A4"/>
    <w:rsid w:val="00424758"/>
    <w:rsid w:val="00424A21"/>
    <w:rsid w:val="00425D23"/>
    <w:rsid w:val="00427231"/>
    <w:rsid w:val="00431DBA"/>
    <w:rsid w:val="0043368D"/>
    <w:rsid w:val="004400C6"/>
    <w:rsid w:val="00442D14"/>
    <w:rsid w:val="0044336A"/>
    <w:rsid w:val="00445A8C"/>
    <w:rsid w:val="00447F56"/>
    <w:rsid w:val="004514B5"/>
    <w:rsid w:val="004514BF"/>
    <w:rsid w:val="00457973"/>
    <w:rsid w:val="00460ABA"/>
    <w:rsid w:val="00460ED5"/>
    <w:rsid w:val="0046212C"/>
    <w:rsid w:val="004627BA"/>
    <w:rsid w:val="004629F1"/>
    <w:rsid w:val="0047496E"/>
    <w:rsid w:val="0047498E"/>
    <w:rsid w:val="004846CA"/>
    <w:rsid w:val="004855B8"/>
    <w:rsid w:val="00485BBB"/>
    <w:rsid w:val="00486EB9"/>
    <w:rsid w:val="0049036C"/>
    <w:rsid w:val="00490D9E"/>
    <w:rsid w:val="00491DA2"/>
    <w:rsid w:val="0049202B"/>
    <w:rsid w:val="00492215"/>
    <w:rsid w:val="00493809"/>
    <w:rsid w:val="00493FFF"/>
    <w:rsid w:val="004A27D9"/>
    <w:rsid w:val="004A57F5"/>
    <w:rsid w:val="004A6EEC"/>
    <w:rsid w:val="004A7D7D"/>
    <w:rsid w:val="004B0BDD"/>
    <w:rsid w:val="004B162A"/>
    <w:rsid w:val="004B183A"/>
    <w:rsid w:val="004B1DE5"/>
    <w:rsid w:val="004B3973"/>
    <w:rsid w:val="004B4615"/>
    <w:rsid w:val="004B6DF8"/>
    <w:rsid w:val="004C2000"/>
    <w:rsid w:val="004C2FB6"/>
    <w:rsid w:val="004C38DC"/>
    <w:rsid w:val="004C4485"/>
    <w:rsid w:val="004C6F25"/>
    <w:rsid w:val="004D3468"/>
    <w:rsid w:val="004D3ACA"/>
    <w:rsid w:val="004D3E11"/>
    <w:rsid w:val="004D7441"/>
    <w:rsid w:val="004D7FF0"/>
    <w:rsid w:val="004E0E09"/>
    <w:rsid w:val="004E10A1"/>
    <w:rsid w:val="004E5902"/>
    <w:rsid w:val="004E68E5"/>
    <w:rsid w:val="004E720B"/>
    <w:rsid w:val="004E77A4"/>
    <w:rsid w:val="004F03C8"/>
    <w:rsid w:val="004F07A4"/>
    <w:rsid w:val="004F2215"/>
    <w:rsid w:val="004F2736"/>
    <w:rsid w:val="004F2F49"/>
    <w:rsid w:val="004F3235"/>
    <w:rsid w:val="004F3DB2"/>
    <w:rsid w:val="004F5D5F"/>
    <w:rsid w:val="00501CC0"/>
    <w:rsid w:val="00501FAF"/>
    <w:rsid w:val="00503E13"/>
    <w:rsid w:val="00504BAB"/>
    <w:rsid w:val="00506226"/>
    <w:rsid w:val="0051381F"/>
    <w:rsid w:val="00515D89"/>
    <w:rsid w:val="0051603C"/>
    <w:rsid w:val="0051777C"/>
    <w:rsid w:val="00521C87"/>
    <w:rsid w:val="00523388"/>
    <w:rsid w:val="00523F2E"/>
    <w:rsid w:val="00524757"/>
    <w:rsid w:val="00524F98"/>
    <w:rsid w:val="00527A19"/>
    <w:rsid w:val="0053003C"/>
    <w:rsid w:val="0053010C"/>
    <w:rsid w:val="005317E4"/>
    <w:rsid w:val="00535B95"/>
    <w:rsid w:val="005378BD"/>
    <w:rsid w:val="0054078F"/>
    <w:rsid w:val="005414BE"/>
    <w:rsid w:val="005416D6"/>
    <w:rsid w:val="00542D54"/>
    <w:rsid w:val="00544672"/>
    <w:rsid w:val="005457D6"/>
    <w:rsid w:val="005502C0"/>
    <w:rsid w:val="00551B49"/>
    <w:rsid w:val="005525BB"/>
    <w:rsid w:val="00553822"/>
    <w:rsid w:val="00556E43"/>
    <w:rsid w:val="00557BA5"/>
    <w:rsid w:val="00560963"/>
    <w:rsid w:val="005645E4"/>
    <w:rsid w:val="005667CB"/>
    <w:rsid w:val="00567579"/>
    <w:rsid w:val="00567682"/>
    <w:rsid w:val="005730C7"/>
    <w:rsid w:val="005731D0"/>
    <w:rsid w:val="00573D41"/>
    <w:rsid w:val="005766AE"/>
    <w:rsid w:val="005827A4"/>
    <w:rsid w:val="005844B3"/>
    <w:rsid w:val="00586C93"/>
    <w:rsid w:val="005904D6"/>
    <w:rsid w:val="00590C10"/>
    <w:rsid w:val="00593FCA"/>
    <w:rsid w:val="0059451E"/>
    <w:rsid w:val="00595955"/>
    <w:rsid w:val="00596E0D"/>
    <w:rsid w:val="005A3653"/>
    <w:rsid w:val="005A6F8C"/>
    <w:rsid w:val="005A746F"/>
    <w:rsid w:val="005A7D30"/>
    <w:rsid w:val="005B0866"/>
    <w:rsid w:val="005B24BD"/>
    <w:rsid w:val="005B2E5A"/>
    <w:rsid w:val="005B4090"/>
    <w:rsid w:val="005B7098"/>
    <w:rsid w:val="005C0A36"/>
    <w:rsid w:val="005C1EA7"/>
    <w:rsid w:val="005C2ED0"/>
    <w:rsid w:val="005C38F8"/>
    <w:rsid w:val="005C457A"/>
    <w:rsid w:val="005C637D"/>
    <w:rsid w:val="005D3C12"/>
    <w:rsid w:val="005D3F9D"/>
    <w:rsid w:val="005D44A5"/>
    <w:rsid w:val="005D473E"/>
    <w:rsid w:val="005D73C0"/>
    <w:rsid w:val="005E4372"/>
    <w:rsid w:val="005E5567"/>
    <w:rsid w:val="005E5CDC"/>
    <w:rsid w:val="005E6FE4"/>
    <w:rsid w:val="005F167F"/>
    <w:rsid w:val="005F1719"/>
    <w:rsid w:val="005F1AE8"/>
    <w:rsid w:val="005F7C45"/>
    <w:rsid w:val="00600974"/>
    <w:rsid w:val="00600D50"/>
    <w:rsid w:val="00601350"/>
    <w:rsid w:val="006045CD"/>
    <w:rsid w:val="00612694"/>
    <w:rsid w:val="0061523C"/>
    <w:rsid w:val="00615992"/>
    <w:rsid w:val="00615A6D"/>
    <w:rsid w:val="0061652D"/>
    <w:rsid w:val="006175FC"/>
    <w:rsid w:val="00620478"/>
    <w:rsid w:val="0062235A"/>
    <w:rsid w:val="006327CB"/>
    <w:rsid w:val="00633E2B"/>
    <w:rsid w:val="0063765B"/>
    <w:rsid w:val="0064026D"/>
    <w:rsid w:val="00644228"/>
    <w:rsid w:val="0064676B"/>
    <w:rsid w:val="00646FF0"/>
    <w:rsid w:val="00650685"/>
    <w:rsid w:val="00650917"/>
    <w:rsid w:val="00650E85"/>
    <w:rsid w:val="00655600"/>
    <w:rsid w:val="0065565A"/>
    <w:rsid w:val="00656793"/>
    <w:rsid w:val="00660899"/>
    <w:rsid w:val="006629A4"/>
    <w:rsid w:val="00665D65"/>
    <w:rsid w:val="00665E92"/>
    <w:rsid w:val="00666528"/>
    <w:rsid w:val="0067010A"/>
    <w:rsid w:val="006719A1"/>
    <w:rsid w:val="00671CAC"/>
    <w:rsid w:val="0068298A"/>
    <w:rsid w:val="00682A32"/>
    <w:rsid w:val="00683870"/>
    <w:rsid w:val="00684DF0"/>
    <w:rsid w:val="006862F8"/>
    <w:rsid w:val="00687D51"/>
    <w:rsid w:val="006932A7"/>
    <w:rsid w:val="0069347F"/>
    <w:rsid w:val="0069390E"/>
    <w:rsid w:val="00694B75"/>
    <w:rsid w:val="00696239"/>
    <w:rsid w:val="00696567"/>
    <w:rsid w:val="00696656"/>
    <w:rsid w:val="006979C4"/>
    <w:rsid w:val="006A1F49"/>
    <w:rsid w:val="006A32BE"/>
    <w:rsid w:val="006A5CDB"/>
    <w:rsid w:val="006A64B1"/>
    <w:rsid w:val="006A69AB"/>
    <w:rsid w:val="006A79DD"/>
    <w:rsid w:val="006B31F7"/>
    <w:rsid w:val="006B437A"/>
    <w:rsid w:val="006B4DBB"/>
    <w:rsid w:val="006B5B9D"/>
    <w:rsid w:val="006B624C"/>
    <w:rsid w:val="006B6BFC"/>
    <w:rsid w:val="006C22D4"/>
    <w:rsid w:val="006C2E88"/>
    <w:rsid w:val="006D1BB6"/>
    <w:rsid w:val="006D1F00"/>
    <w:rsid w:val="006D402C"/>
    <w:rsid w:val="006E2396"/>
    <w:rsid w:val="006E390F"/>
    <w:rsid w:val="006E3F8C"/>
    <w:rsid w:val="006E61F8"/>
    <w:rsid w:val="006F0F4E"/>
    <w:rsid w:val="006F117E"/>
    <w:rsid w:val="006F4D5E"/>
    <w:rsid w:val="006F5B3E"/>
    <w:rsid w:val="006F74C5"/>
    <w:rsid w:val="00701B60"/>
    <w:rsid w:val="00702CC7"/>
    <w:rsid w:val="00704EE9"/>
    <w:rsid w:val="00706268"/>
    <w:rsid w:val="007068AC"/>
    <w:rsid w:val="007069D5"/>
    <w:rsid w:val="00707AA8"/>
    <w:rsid w:val="00707C00"/>
    <w:rsid w:val="00716D3B"/>
    <w:rsid w:val="00720D85"/>
    <w:rsid w:val="007220C1"/>
    <w:rsid w:val="0072438B"/>
    <w:rsid w:val="00724A54"/>
    <w:rsid w:val="00731963"/>
    <w:rsid w:val="00731969"/>
    <w:rsid w:val="0073560D"/>
    <w:rsid w:val="007357CB"/>
    <w:rsid w:val="00737EEF"/>
    <w:rsid w:val="0074267F"/>
    <w:rsid w:val="00744760"/>
    <w:rsid w:val="00746985"/>
    <w:rsid w:val="00747F71"/>
    <w:rsid w:val="00751823"/>
    <w:rsid w:val="00751BC3"/>
    <w:rsid w:val="00752566"/>
    <w:rsid w:val="00752832"/>
    <w:rsid w:val="007571DF"/>
    <w:rsid w:val="00762ED4"/>
    <w:rsid w:val="0076625C"/>
    <w:rsid w:val="0076706B"/>
    <w:rsid w:val="00767A1B"/>
    <w:rsid w:val="00772557"/>
    <w:rsid w:val="00772FE9"/>
    <w:rsid w:val="00774295"/>
    <w:rsid w:val="0077469D"/>
    <w:rsid w:val="00775A94"/>
    <w:rsid w:val="00776E97"/>
    <w:rsid w:val="0078056F"/>
    <w:rsid w:val="00782005"/>
    <w:rsid w:val="00787DE6"/>
    <w:rsid w:val="00790163"/>
    <w:rsid w:val="00791782"/>
    <w:rsid w:val="00794E79"/>
    <w:rsid w:val="007953D1"/>
    <w:rsid w:val="00797FD7"/>
    <w:rsid w:val="007A2037"/>
    <w:rsid w:val="007A20FD"/>
    <w:rsid w:val="007A2760"/>
    <w:rsid w:val="007A3213"/>
    <w:rsid w:val="007A41D4"/>
    <w:rsid w:val="007A7808"/>
    <w:rsid w:val="007C112C"/>
    <w:rsid w:val="007C52A4"/>
    <w:rsid w:val="007C5D77"/>
    <w:rsid w:val="007D0260"/>
    <w:rsid w:val="007D1546"/>
    <w:rsid w:val="007D2BCE"/>
    <w:rsid w:val="007D4876"/>
    <w:rsid w:val="007D4A20"/>
    <w:rsid w:val="007D50F8"/>
    <w:rsid w:val="007E14FF"/>
    <w:rsid w:val="007E1B5C"/>
    <w:rsid w:val="007E37F7"/>
    <w:rsid w:val="007E4373"/>
    <w:rsid w:val="007E57F3"/>
    <w:rsid w:val="007E6046"/>
    <w:rsid w:val="007E7F6D"/>
    <w:rsid w:val="007F1EBC"/>
    <w:rsid w:val="007F265D"/>
    <w:rsid w:val="007F3207"/>
    <w:rsid w:val="007F3AE1"/>
    <w:rsid w:val="007F791D"/>
    <w:rsid w:val="00802291"/>
    <w:rsid w:val="0080597C"/>
    <w:rsid w:val="008064CC"/>
    <w:rsid w:val="00807431"/>
    <w:rsid w:val="00807730"/>
    <w:rsid w:val="008115FD"/>
    <w:rsid w:val="0081277E"/>
    <w:rsid w:val="00814A60"/>
    <w:rsid w:val="00815B8A"/>
    <w:rsid w:val="0082072A"/>
    <w:rsid w:val="00821005"/>
    <w:rsid w:val="00822DFE"/>
    <w:rsid w:val="00822E33"/>
    <w:rsid w:val="00824922"/>
    <w:rsid w:val="00824CB9"/>
    <w:rsid w:val="008266A4"/>
    <w:rsid w:val="008354A6"/>
    <w:rsid w:val="008367EA"/>
    <w:rsid w:val="00837C26"/>
    <w:rsid w:val="00840774"/>
    <w:rsid w:val="00842430"/>
    <w:rsid w:val="0084265A"/>
    <w:rsid w:val="00851BAA"/>
    <w:rsid w:val="00853A12"/>
    <w:rsid w:val="00855FDA"/>
    <w:rsid w:val="00857614"/>
    <w:rsid w:val="00860D60"/>
    <w:rsid w:val="00865489"/>
    <w:rsid w:val="00865E85"/>
    <w:rsid w:val="008717AD"/>
    <w:rsid w:val="00872FCA"/>
    <w:rsid w:val="008755CE"/>
    <w:rsid w:val="0088078D"/>
    <w:rsid w:val="00880FE1"/>
    <w:rsid w:val="00881C9A"/>
    <w:rsid w:val="00882106"/>
    <w:rsid w:val="00882ABE"/>
    <w:rsid w:val="0088353F"/>
    <w:rsid w:val="00887B50"/>
    <w:rsid w:val="00890C60"/>
    <w:rsid w:val="0089326F"/>
    <w:rsid w:val="00893A80"/>
    <w:rsid w:val="008942F9"/>
    <w:rsid w:val="00895D5B"/>
    <w:rsid w:val="00896209"/>
    <w:rsid w:val="008A2AF3"/>
    <w:rsid w:val="008A62A0"/>
    <w:rsid w:val="008B2B4C"/>
    <w:rsid w:val="008B2B59"/>
    <w:rsid w:val="008B30E9"/>
    <w:rsid w:val="008C1BAF"/>
    <w:rsid w:val="008C308A"/>
    <w:rsid w:val="008C4950"/>
    <w:rsid w:val="008C53A7"/>
    <w:rsid w:val="008C7361"/>
    <w:rsid w:val="008C7444"/>
    <w:rsid w:val="008D03D0"/>
    <w:rsid w:val="008D19A7"/>
    <w:rsid w:val="008D3BEC"/>
    <w:rsid w:val="008D5964"/>
    <w:rsid w:val="008E0778"/>
    <w:rsid w:val="008E4F29"/>
    <w:rsid w:val="008E52C1"/>
    <w:rsid w:val="008E781D"/>
    <w:rsid w:val="008E7AD6"/>
    <w:rsid w:val="008F22CB"/>
    <w:rsid w:val="00900CE0"/>
    <w:rsid w:val="00901DFD"/>
    <w:rsid w:val="00902748"/>
    <w:rsid w:val="009044EB"/>
    <w:rsid w:val="00905BCF"/>
    <w:rsid w:val="009064BB"/>
    <w:rsid w:val="0091086F"/>
    <w:rsid w:val="00913859"/>
    <w:rsid w:val="00915F8B"/>
    <w:rsid w:val="00917542"/>
    <w:rsid w:val="00926612"/>
    <w:rsid w:val="0092663C"/>
    <w:rsid w:val="0093156E"/>
    <w:rsid w:val="00932120"/>
    <w:rsid w:val="0093242B"/>
    <w:rsid w:val="00932BBF"/>
    <w:rsid w:val="0093597E"/>
    <w:rsid w:val="00937A7F"/>
    <w:rsid w:val="00937EE9"/>
    <w:rsid w:val="0094021C"/>
    <w:rsid w:val="00941829"/>
    <w:rsid w:val="00951FA7"/>
    <w:rsid w:val="00954117"/>
    <w:rsid w:val="00956660"/>
    <w:rsid w:val="00957E8A"/>
    <w:rsid w:val="00957ED0"/>
    <w:rsid w:val="009623C8"/>
    <w:rsid w:val="0096435F"/>
    <w:rsid w:val="009645CA"/>
    <w:rsid w:val="00967CB1"/>
    <w:rsid w:val="00972E59"/>
    <w:rsid w:val="00975317"/>
    <w:rsid w:val="00976E5E"/>
    <w:rsid w:val="00976FA0"/>
    <w:rsid w:val="0098594B"/>
    <w:rsid w:val="00985E79"/>
    <w:rsid w:val="00986404"/>
    <w:rsid w:val="00987851"/>
    <w:rsid w:val="009907BA"/>
    <w:rsid w:val="009918E2"/>
    <w:rsid w:val="0099572B"/>
    <w:rsid w:val="009976A2"/>
    <w:rsid w:val="009A1968"/>
    <w:rsid w:val="009A21F1"/>
    <w:rsid w:val="009A45EA"/>
    <w:rsid w:val="009A48E8"/>
    <w:rsid w:val="009A6B9E"/>
    <w:rsid w:val="009B0561"/>
    <w:rsid w:val="009B2FC7"/>
    <w:rsid w:val="009B3A3B"/>
    <w:rsid w:val="009B43BD"/>
    <w:rsid w:val="009C3200"/>
    <w:rsid w:val="009C326D"/>
    <w:rsid w:val="009D2F91"/>
    <w:rsid w:val="009E5446"/>
    <w:rsid w:val="009F0174"/>
    <w:rsid w:val="009F2EE3"/>
    <w:rsid w:val="009F3792"/>
    <w:rsid w:val="009F49AF"/>
    <w:rsid w:val="009F4BA5"/>
    <w:rsid w:val="009F6EE5"/>
    <w:rsid w:val="009F76A4"/>
    <w:rsid w:val="00A054A5"/>
    <w:rsid w:val="00A10C1E"/>
    <w:rsid w:val="00A161A9"/>
    <w:rsid w:val="00A203C0"/>
    <w:rsid w:val="00A221F3"/>
    <w:rsid w:val="00A2363D"/>
    <w:rsid w:val="00A24CB5"/>
    <w:rsid w:val="00A250CF"/>
    <w:rsid w:val="00A309BA"/>
    <w:rsid w:val="00A31F56"/>
    <w:rsid w:val="00A33128"/>
    <w:rsid w:val="00A3356B"/>
    <w:rsid w:val="00A34E1C"/>
    <w:rsid w:val="00A35673"/>
    <w:rsid w:val="00A35D54"/>
    <w:rsid w:val="00A41C06"/>
    <w:rsid w:val="00A43BDC"/>
    <w:rsid w:val="00A4798E"/>
    <w:rsid w:val="00A533D7"/>
    <w:rsid w:val="00A5501C"/>
    <w:rsid w:val="00A5762D"/>
    <w:rsid w:val="00A57A60"/>
    <w:rsid w:val="00A60D24"/>
    <w:rsid w:val="00A653C6"/>
    <w:rsid w:val="00A70A14"/>
    <w:rsid w:val="00A71CC2"/>
    <w:rsid w:val="00A7325F"/>
    <w:rsid w:val="00A82DAA"/>
    <w:rsid w:val="00A928B6"/>
    <w:rsid w:val="00A93B12"/>
    <w:rsid w:val="00A941EA"/>
    <w:rsid w:val="00A947B1"/>
    <w:rsid w:val="00A97240"/>
    <w:rsid w:val="00AA1916"/>
    <w:rsid w:val="00AA2413"/>
    <w:rsid w:val="00AA25FE"/>
    <w:rsid w:val="00AA2B1F"/>
    <w:rsid w:val="00AA4F52"/>
    <w:rsid w:val="00AA7893"/>
    <w:rsid w:val="00AB26E5"/>
    <w:rsid w:val="00AB2D3F"/>
    <w:rsid w:val="00AB5D00"/>
    <w:rsid w:val="00AB5ED9"/>
    <w:rsid w:val="00AB6CEE"/>
    <w:rsid w:val="00AB6D50"/>
    <w:rsid w:val="00AB734E"/>
    <w:rsid w:val="00AB76FB"/>
    <w:rsid w:val="00AC1F51"/>
    <w:rsid w:val="00AC1F6D"/>
    <w:rsid w:val="00AC47EE"/>
    <w:rsid w:val="00AC5197"/>
    <w:rsid w:val="00AC5C22"/>
    <w:rsid w:val="00AC60EA"/>
    <w:rsid w:val="00AD01BE"/>
    <w:rsid w:val="00AD720F"/>
    <w:rsid w:val="00AE4E63"/>
    <w:rsid w:val="00AF0678"/>
    <w:rsid w:val="00AF5F3F"/>
    <w:rsid w:val="00B014C5"/>
    <w:rsid w:val="00B0290A"/>
    <w:rsid w:val="00B05B50"/>
    <w:rsid w:val="00B07FE7"/>
    <w:rsid w:val="00B10799"/>
    <w:rsid w:val="00B12E9B"/>
    <w:rsid w:val="00B138B2"/>
    <w:rsid w:val="00B13CFF"/>
    <w:rsid w:val="00B146D2"/>
    <w:rsid w:val="00B154B0"/>
    <w:rsid w:val="00B17E9E"/>
    <w:rsid w:val="00B204B7"/>
    <w:rsid w:val="00B207EF"/>
    <w:rsid w:val="00B21C23"/>
    <w:rsid w:val="00B226C5"/>
    <w:rsid w:val="00B24EF7"/>
    <w:rsid w:val="00B279C9"/>
    <w:rsid w:val="00B30063"/>
    <w:rsid w:val="00B30C45"/>
    <w:rsid w:val="00B3281D"/>
    <w:rsid w:val="00B32D6C"/>
    <w:rsid w:val="00B3409A"/>
    <w:rsid w:val="00B341A4"/>
    <w:rsid w:val="00B34FB6"/>
    <w:rsid w:val="00B42371"/>
    <w:rsid w:val="00B4362B"/>
    <w:rsid w:val="00B46A0D"/>
    <w:rsid w:val="00B47600"/>
    <w:rsid w:val="00B5354E"/>
    <w:rsid w:val="00B536B4"/>
    <w:rsid w:val="00B5393B"/>
    <w:rsid w:val="00B54204"/>
    <w:rsid w:val="00B544D9"/>
    <w:rsid w:val="00B558A6"/>
    <w:rsid w:val="00B56ECA"/>
    <w:rsid w:val="00B57B74"/>
    <w:rsid w:val="00B6058E"/>
    <w:rsid w:val="00B61EFE"/>
    <w:rsid w:val="00B65A92"/>
    <w:rsid w:val="00B66828"/>
    <w:rsid w:val="00B71A6A"/>
    <w:rsid w:val="00B71C46"/>
    <w:rsid w:val="00B72EE6"/>
    <w:rsid w:val="00B753B7"/>
    <w:rsid w:val="00B75E9C"/>
    <w:rsid w:val="00B77A87"/>
    <w:rsid w:val="00B81EBE"/>
    <w:rsid w:val="00B830B6"/>
    <w:rsid w:val="00B84D9B"/>
    <w:rsid w:val="00B90A78"/>
    <w:rsid w:val="00B922B5"/>
    <w:rsid w:val="00B95110"/>
    <w:rsid w:val="00B96FC8"/>
    <w:rsid w:val="00BA04DA"/>
    <w:rsid w:val="00BA06BA"/>
    <w:rsid w:val="00BA0B72"/>
    <w:rsid w:val="00BA161D"/>
    <w:rsid w:val="00BA1A1D"/>
    <w:rsid w:val="00BA2782"/>
    <w:rsid w:val="00BA3116"/>
    <w:rsid w:val="00BA511A"/>
    <w:rsid w:val="00BB0C6E"/>
    <w:rsid w:val="00BB2DB8"/>
    <w:rsid w:val="00BB5146"/>
    <w:rsid w:val="00BC37B9"/>
    <w:rsid w:val="00BC4045"/>
    <w:rsid w:val="00BC49FF"/>
    <w:rsid w:val="00BC7CA6"/>
    <w:rsid w:val="00BD0D00"/>
    <w:rsid w:val="00BD540E"/>
    <w:rsid w:val="00BD7973"/>
    <w:rsid w:val="00BE13EA"/>
    <w:rsid w:val="00BE1FEB"/>
    <w:rsid w:val="00BE3DE4"/>
    <w:rsid w:val="00BE46D5"/>
    <w:rsid w:val="00BE4F9C"/>
    <w:rsid w:val="00BE5923"/>
    <w:rsid w:val="00BE5F6F"/>
    <w:rsid w:val="00BE7BDB"/>
    <w:rsid w:val="00BF1937"/>
    <w:rsid w:val="00BF6067"/>
    <w:rsid w:val="00C0174C"/>
    <w:rsid w:val="00C01889"/>
    <w:rsid w:val="00C0387B"/>
    <w:rsid w:val="00C03AED"/>
    <w:rsid w:val="00C06962"/>
    <w:rsid w:val="00C14A71"/>
    <w:rsid w:val="00C14E34"/>
    <w:rsid w:val="00C16000"/>
    <w:rsid w:val="00C167CB"/>
    <w:rsid w:val="00C1714D"/>
    <w:rsid w:val="00C24296"/>
    <w:rsid w:val="00C248AA"/>
    <w:rsid w:val="00C256C1"/>
    <w:rsid w:val="00C25CDF"/>
    <w:rsid w:val="00C352C1"/>
    <w:rsid w:val="00C41612"/>
    <w:rsid w:val="00C4293B"/>
    <w:rsid w:val="00C43626"/>
    <w:rsid w:val="00C44197"/>
    <w:rsid w:val="00C44901"/>
    <w:rsid w:val="00C44ABC"/>
    <w:rsid w:val="00C463B4"/>
    <w:rsid w:val="00C50C7B"/>
    <w:rsid w:val="00C53C1C"/>
    <w:rsid w:val="00C54984"/>
    <w:rsid w:val="00C57F1C"/>
    <w:rsid w:val="00C61527"/>
    <w:rsid w:val="00C62AEB"/>
    <w:rsid w:val="00C67306"/>
    <w:rsid w:val="00C70728"/>
    <w:rsid w:val="00C7216B"/>
    <w:rsid w:val="00C7365C"/>
    <w:rsid w:val="00C75528"/>
    <w:rsid w:val="00C763CD"/>
    <w:rsid w:val="00C770A5"/>
    <w:rsid w:val="00C774C8"/>
    <w:rsid w:val="00C7754C"/>
    <w:rsid w:val="00C80384"/>
    <w:rsid w:val="00C834E5"/>
    <w:rsid w:val="00C83A75"/>
    <w:rsid w:val="00C842B9"/>
    <w:rsid w:val="00C847A6"/>
    <w:rsid w:val="00C862EA"/>
    <w:rsid w:val="00C9075F"/>
    <w:rsid w:val="00C90D22"/>
    <w:rsid w:val="00C94622"/>
    <w:rsid w:val="00C94781"/>
    <w:rsid w:val="00CA0DA9"/>
    <w:rsid w:val="00CA22C7"/>
    <w:rsid w:val="00CA2391"/>
    <w:rsid w:val="00CA38EC"/>
    <w:rsid w:val="00CB021F"/>
    <w:rsid w:val="00CB26D9"/>
    <w:rsid w:val="00CB456C"/>
    <w:rsid w:val="00CB468D"/>
    <w:rsid w:val="00CB4701"/>
    <w:rsid w:val="00CC0618"/>
    <w:rsid w:val="00CC0802"/>
    <w:rsid w:val="00CC0ADA"/>
    <w:rsid w:val="00CC1B20"/>
    <w:rsid w:val="00CC4F73"/>
    <w:rsid w:val="00CC6594"/>
    <w:rsid w:val="00CD15B3"/>
    <w:rsid w:val="00CD4FB2"/>
    <w:rsid w:val="00CD5D91"/>
    <w:rsid w:val="00CD6397"/>
    <w:rsid w:val="00CD64AE"/>
    <w:rsid w:val="00CE1663"/>
    <w:rsid w:val="00CE439D"/>
    <w:rsid w:val="00CE59ED"/>
    <w:rsid w:val="00CE60B1"/>
    <w:rsid w:val="00CE6D06"/>
    <w:rsid w:val="00CF3D9D"/>
    <w:rsid w:val="00CF4853"/>
    <w:rsid w:val="00CF59DE"/>
    <w:rsid w:val="00CF5BC5"/>
    <w:rsid w:val="00CF7103"/>
    <w:rsid w:val="00D03461"/>
    <w:rsid w:val="00D04B59"/>
    <w:rsid w:val="00D05899"/>
    <w:rsid w:val="00D1734E"/>
    <w:rsid w:val="00D2202B"/>
    <w:rsid w:val="00D239DC"/>
    <w:rsid w:val="00D24035"/>
    <w:rsid w:val="00D24B0E"/>
    <w:rsid w:val="00D25F7D"/>
    <w:rsid w:val="00D33C8C"/>
    <w:rsid w:val="00D34A7F"/>
    <w:rsid w:val="00D4038A"/>
    <w:rsid w:val="00D40435"/>
    <w:rsid w:val="00D42B8A"/>
    <w:rsid w:val="00D45309"/>
    <w:rsid w:val="00D45C1B"/>
    <w:rsid w:val="00D4779F"/>
    <w:rsid w:val="00D50446"/>
    <w:rsid w:val="00D5067F"/>
    <w:rsid w:val="00D53590"/>
    <w:rsid w:val="00D53B20"/>
    <w:rsid w:val="00D55261"/>
    <w:rsid w:val="00D61799"/>
    <w:rsid w:val="00D6696D"/>
    <w:rsid w:val="00D70C9A"/>
    <w:rsid w:val="00D738D6"/>
    <w:rsid w:val="00D75BD1"/>
    <w:rsid w:val="00D772AB"/>
    <w:rsid w:val="00D77A32"/>
    <w:rsid w:val="00D80C32"/>
    <w:rsid w:val="00D82EB7"/>
    <w:rsid w:val="00D831A8"/>
    <w:rsid w:val="00D83F4B"/>
    <w:rsid w:val="00D93093"/>
    <w:rsid w:val="00D93B5B"/>
    <w:rsid w:val="00D94921"/>
    <w:rsid w:val="00D95207"/>
    <w:rsid w:val="00D97CBD"/>
    <w:rsid w:val="00D97E13"/>
    <w:rsid w:val="00DA3441"/>
    <w:rsid w:val="00DA43B1"/>
    <w:rsid w:val="00DA4D25"/>
    <w:rsid w:val="00DB1B9A"/>
    <w:rsid w:val="00DB36A8"/>
    <w:rsid w:val="00DB45FA"/>
    <w:rsid w:val="00DB4CF9"/>
    <w:rsid w:val="00DB641C"/>
    <w:rsid w:val="00DB65AF"/>
    <w:rsid w:val="00DB7190"/>
    <w:rsid w:val="00DB7FCC"/>
    <w:rsid w:val="00DC3C78"/>
    <w:rsid w:val="00DC6D32"/>
    <w:rsid w:val="00DD225F"/>
    <w:rsid w:val="00DD41AB"/>
    <w:rsid w:val="00DD45E9"/>
    <w:rsid w:val="00DD5E3F"/>
    <w:rsid w:val="00DD67FD"/>
    <w:rsid w:val="00DD6E39"/>
    <w:rsid w:val="00DD775C"/>
    <w:rsid w:val="00DE15ED"/>
    <w:rsid w:val="00DE275A"/>
    <w:rsid w:val="00DE2DFF"/>
    <w:rsid w:val="00DE45D5"/>
    <w:rsid w:val="00DE7296"/>
    <w:rsid w:val="00DE73B5"/>
    <w:rsid w:val="00DF1914"/>
    <w:rsid w:val="00DF19A9"/>
    <w:rsid w:val="00DF26D8"/>
    <w:rsid w:val="00DF3556"/>
    <w:rsid w:val="00DF35B9"/>
    <w:rsid w:val="00DF79D3"/>
    <w:rsid w:val="00E00964"/>
    <w:rsid w:val="00E00A2C"/>
    <w:rsid w:val="00E03F9D"/>
    <w:rsid w:val="00E06DEB"/>
    <w:rsid w:val="00E1404E"/>
    <w:rsid w:val="00E156FC"/>
    <w:rsid w:val="00E17F34"/>
    <w:rsid w:val="00E228F4"/>
    <w:rsid w:val="00E22B1B"/>
    <w:rsid w:val="00E234BB"/>
    <w:rsid w:val="00E23906"/>
    <w:rsid w:val="00E240E4"/>
    <w:rsid w:val="00E30441"/>
    <w:rsid w:val="00E33F91"/>
    <w:rsid w:val="00E40937"/>
    <w:rsid w:val="00E43449"/>
    <w:rsid w:val="00E43745"/>
    <w:rsid w:val="00E44486"/>
    <w:rsid w:val="00E4458D"/>
    <w:rsid w:val="00E44FB9"/>
    <w:rsid w:val="00E57BED"/>
    <w:rsid w:val="00E61751"/>
    <w:rsid w:val="00E622D3"/>
    <w:rsid w:val="00E66591"/>
    <w:rsid w:val="00E665F8"/>
    <w:rsid w:val="00E67FDF"/>
    <w:rsid w:val="00E71315"/>
    <w:rsid w:val="00E71A14"/>
    <w:rsid w:val="00E71E0E"/>
    <w:rsid w:val="00E720F2"/>
    <w:rsid w:val="00E729BC"/>
    <w:rsid w:val="00E73A35"/>
    <w:rsid w:val="00E743FB"/>
    <w:rsid w:val="00E75B01"/>
    <w:rsid w:val="00E774A0"/>
    <w:rsid w:val="00E8115F"/>
    <w:rsid w:val="00E8224D"/>
    <w:rsid w:val="00E82316"/>
    <w:rsid w:val="00E83346"/>
    <w:rsid w:val="00E84F6E"/>
    <w:rsid w:val="00E91373"/>
    <w:rsid w:val="00E91E42"/>
    <w:rsid w:val="00E972D7"/>
    <w:rsid w:val="00EA2505"/>
    <w:rsid w:val="00EA4119"/>
    <w:rsid w:val="00EA5CB2"/>
    <w:rsid w:val="00EA5D6F"/>
    <w:rsid w:val="00EA7E3B"/>
    <w:rsid w:val="00EB0426"/>
    <w:rsid w:val="00EC0F49"/>
    <w:rsid w:val="00EC1CE2"/>
    <w:rsid w:val="00EC3CB6"/>
    <w:rsid w:val="00ED3642"/>
    <w:rsid w:val="00ED42A8"/>
    <w:rsid w:val="00ED47A2"/>
    <w:rsid w:val="00ED56D8"/>
    <w:rsid w:val="00ED64C7"/>
    <w:rsid w:val="00EE0AA1"/>
    <w:rsid w:val="00EE1856"/>
    <w:rsid w:val="00EE2FD3"/>
    <w:rsid w:val="00EE373D"/>
    <w:rsid w:val="00EF16F3"/>
    <w:rsid w:val="00EF1BAD"/>
    <w:rsid w:val="00EF1BF1"/>
    <w:rsid w:val="00EF1EA8"/>
    <w:rsid w:val="00EF2B4D"/>
    <w:rsid w:val="00EF41CA"/>
    <w:rsid w:val="00EF5FDC"/>
    <w:rsid w:val="00F00E3C"/>
    <w:rsid w:val="00F10DD8"/>
    <w:rsid w:val="00F118DD"/>
    <w:rsid w:val="00F11B02"/>
    <w:rsid w:val="00F11D0A"/>
    <w:rsid w:val="00F1760E"/>
    <w:rsid w:val="00F21C1B"/>
    <w:rsid w:val="00F2205E"/>
    <w:rsid w:val="00F2458D"/>
    <w:rsid w:val="00F24C4F"/>
    <w:rsid w:val="00F256C7"/>
    <w:rsid w:val="00F257DB"/>
    <w:rsid w:val="00F25D02"/>
    <w:rsid w:val="00F30DBF"/>
    <w:rsid w:val="00F32F83"/>
    <w:rsid w:val="00F36ECD"/>
    <w:rsid w:val="00F424B3"/>
    <w:rsid w:val="00F43BF3"/>
    <w:rsid w:val="00F44C1E"/>
    <w:rsid w:val="00F52B1F"/>
    <w:rsid w:val="00F531C6"/>
    <w:rsid w:val="00F532B7"/>
    <w:rsid w:val="00F556DF"/>
    <w:rsid w:val="00F56E8E"/>
    <w:rsid w:val="00F61475"/>
    <w:rsid w:val="00F633BF"/>
    <w:rsid w:val="00F66449"/>
    <w:rsid w:val="00F71C08"/>
    <w:rsid w:val="00F72656"/>
    <w:rsid w:val="00F7467F"/>
    <w:rsid w:val="00F75154"/>
    <w:rsid w:val="00F75D83"/>
    <w:rsid w:val="00F82329"/>
    <w:rsid w:val="00F845F6"/>
    <w:rsid w:val="00F856C3"/>
    <w:rsid w:val="00F86F2D"/>
    <w:rsid w:val="00F95119"/>
    <w:rsid w:val="00F97E03"/>
    <w:rsid w:val="00FA01AF"/>
    <w:rsid w:val="00FA1B85"/>
    <w:rsid w:val="00FA2137"/>
    <w:rsid w:val="00FA2179"/>
    <w:rsid w:val="00FA30E5"/>
    <w:rsid w:val="00FA310E"/>
    <w:rsid w:val="00FA4C28"/>
    <w:rsid w:val="00FA5288"/>
    <w:rsid w:val="00FB42D9"/>
    <w:rsid w:val="00FB4C4E"/>
    <w:rsid w:val="00FB4DB8"/>
    <w:rsid w:val="00FB729A"/>
    <w:rsid w:val="00FC1FD2"/>
    <w:rsid w:val="00FC35E1"/>
    <w:rsid w:val="00FC4B3B"/>
    <w:rsid w:val="00FC4E5E"/>
    <w:rsid w:val="00FC6532"/>
    <w:rsid w:val="00FC6552"/>
    <w:rsid w:val="00FC726B"/>
    <w:rsid w:val="00FD0C47"/>
    <w:rsid w:val="00FD2DD7"/>
    <w:rsid w:val="00FD38B1"/>
    <w:rsid w:val="00FD5047"/>
    <w:rsid w:val="00FD5E57"/>
    <w:rsid w:val="00FD68FA"/>
    <w:rsid w:val="00FE534D"/>
    <w:rsid w:val="00FE58BE"/>
    <w:rsid w:val="00FE7506"/>
    <w:rsid w:val="00FF1281"/>
    <w:rsid w:val="00FF12AD"/>
    <w:rsid w:val="00FF1A09"/>
    <w:rsid w:val="00FF2703"/>
    <w:rsid w:val="00FF5E41"/>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c8e8e"/>
    </o:shapedefaults>
    <o:shapelayout v:ext="edit">
      <o:idmap v:ext="edit" data="1"/>
    </o:shapelayout>
  </w:shapeDefaults>
  <w:doNotEmbedSmartTags/>
  <w:decimalSymbol w:val="."/>
  <w:listSeparator w:val=","/>
  <w14:docId w14:val="327F60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E75B01"/>
    <w:pPr>
      <w:spacing w:before="120" w:after="180" w:line="320" w:lineRule="exact"/>
      <w:outlineLvl w:val="1"/>
    </w:pPr>
    <w:rPr>
      <w:color w:val="auto"/>
      <w:sz w:val="28"/>
      <w:szCs w:val="28"/>
    </w:rPr>
  </w:style>
  <w:style w:type="paragraph" w:styleId="Heading3">
    <w:name w:val="heading 3"/>
    <w:basedOn w:val="Heading2"/>
    <w:next w:val="Normal"/>
    <w:link w:val="Heading3Char"/>
    <w:qFormat/>
    <w:rsid w:val="00932120"/>
    <w:pPr>
      <w:spacing w:after="120" w:line="280" w:lineRule="exact"/>
      <w:outlineLvl w:val="2"/>
    </w:pPr>
    <w:rPr>
      <w:kern w:val="0"/>
      <w:sz w:val="24"/>
      <w:szCs w:val="26"/>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E75B01"/>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uiPriority w:val="99"/>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link w:val="NormalTextChar"/>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6A5CDB"/>
    <w:pPr>
      <w:spacing w:after="60"/>
      <w:ind w:left="270" w:hanging="270"/>
    </w:pPr>
    <w:rPr>
      <w:noProof/>
      <w:sz w:val="20"/>
    </w:rPr>
  </w:style>
  <w:style w:type="character" w:customStyle="1" w:styleId="EndnoteTextChar">
    <w:name w:val="Endnote Text Char"/>
    <w:basedOn w:val="DefaultParagraphFont"/>
    <w:link w:val="EndnoteText"/>
    <w:uiPriority w:val="99"/>
    <w:rsid w:val="006A5CDB"/>
    <w:rPr>
      <w:rFonts w:cs="Times-Roman"/>
      <w:noProof/>
      <w:color w:val="000000"/>
      <w:sz w:val="20"/>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uiPriority w:val="39"/>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uiPriority w:val="39"/>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uiPriority w:val="39"/>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9F2EE3"/>
    <w:rPr>
      <w:rFonts w:ascii="Times New Roman" w:hAnsi="Times New Roman"/>
      <w:spacing w:val="0"/>
      <w:w w:val="100"/>
      <w:position w:val="0"/>
      <w:sz w:val="18"/>
      <w:vertAlign w:val="superscript"/>
    </w:rPr>
  </w:style>
  <w:style w:type="paragraph" w:customStyle="1" w:styleId="bullets">
    <w:name w:val="bullets"/>
    <w:basedOn w:val="BasicParagraph"/>
    <w:qFormat/>
    <w:rsid w:val="004D3468"/>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B05B50"/>
    <w:pPr>
      <w:widowControl/>
      <w:numPr>
        <w:numId w:val="0"/>
      </w:numPr>
      <w:tabs>
        <w:tab w:val="left" w:pos="1530"/>
      </w:tabs>
      <w:spacing w:after="0"/>
      <w:ind w:left="108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link w:val="DocIDChar"/>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 w:type="character" w:customStyle="1" w:styleId="HeaderChar">
    <w:name w:val="Header Char"/>
    <w:link w:val="Header"/>
    <w:uiPriority w:val="99"/>
    <w:rsid w:val="00615A6D"/>
  </w:style>
  <w:style w:type="character" w:customStyle="1" w:styleId="NormalTextChar">
    <w:name w:val="Normal Text Char"/>
    <w:link w:val="NormalText"/>
    <w:rsid w:val="00615A6D"/>
    <w:rPr>
      <w:szCs w:val="20"/>
    </w:rPr>
  </w:style>
  <w:style w:type="paragraph" w:customStyle="1" w:styleId="TOCHeading1">
    <w:name w:val="TOC Heading1"/>
    <w:basedOn w:val="Heading1"/>
    <w:next w:val="Normal"/>
    <w:rsid w:val="00615A6D"/>
    <w:pPr>
      <w:keepLines/>
      <w:suppressAutoHyphens w:val="0"/>
      <w:spacing w:before="480" w:line="276" w:lineRule="auto"/>
      <w:outlineLvl w:val="9"/>
    </w:pPr>
    <w:rPr>
      <w:rFonts w:ascii="Calibri" w:hAnsi="Calibri"/>
      <w:b/>
      <w:bCs/>
      <w:color w:val="365F91"/>
      <w:kern w:val="0"/>
      <w:sz w:val="28"/>
      <w:szCs w:val="28"/>
    </w:rPr>
  </w:style>
  <w:style w:type="paragraph" w:customStyle="1" w:styleId="ColorfulList-Accent11">
    <w:name w:val="Colorful List - Accent 11"/>
    <w:basedOn w:val="Normal"/>
    <w:uiPriority w:val="34"/>
    <w:qFormat/>
    <w:rsid w:val="00615A6D"/>
    <w:pPr>
      <w:spacing w:after="200" w:line="276" w:lineRule="auto"/>
      <w:ind w:left="720"/>
      <w:contextualSpacing/>
    </w:pPr>
    <w:rPr>
      <w:rFonts w:ascii="Calibri" w:eastAsia="Calibri" w:hAnsi="Calibri"/>
      <w:sz w:val="22"/>
      <w:szCs w:val="22"/>
    </w:rPr>
  </w:style>
  <w:style w:type="character" w:customStyle="1" w:styleId="DocIDChar">
    <w:name w:val="Doc ID Char"/>
    <w:link w:val="DocID"/>
    <w:rsid w:val="00615A6D"/>
    <w:rPr>
      <w:sz w:val="14"/>
      <w:szCs w:val="20"/>
    </w:rPr>
  </w:style>
  <w:style w:type="paragraph" w:customStyle="1" w:styleId="levela0">
    <w:name w:val="levela"/>
    <w:basedOn w:val="Normal"/>
    <w:rsid w:val="00615A6D"/>
    <w:pPr>
      <w:spacing w:line="240" w:lineRule="auto"/>
      <w:ind w:left="360" w:firstLine="360"/>
    </w:pPr>
  </w:style>
  <w:style w:type="paragraph" w:customStyle="1" w:styleId="LevalD">
    <w:name w:val="Leval D"/>
    <w:basedOn w:val="LevelA"/>
    <w:qFormat/>
    <w:rsid w:val="00615A6D"/>
    <w:pPr>
      <w:widowControl/>
      <w:tabs>
        <w:tab w:val="clear" w:pos="360"/>
        <w:tab w:val="clear" w:pos="720"/>
      </w:tabs>
      <w:ind w:left="1440"/>
    </w:pPr>
    <w:rPr>
      <w:sz w:val="23"/>
    </w:rPr>
  </w:style>
  <w:style w:type="paragraph" w:customStyle="1" w:styleId="Style2">
    <w:name w:val="Style2"/>
    <w:basedOn w:val="LevelA"/>
    <w:next w:val="LevalD"/>
    <w:qFormat/>
    <w:rsid w:val="00615A6D"/>
    <w:pPr>
      <w:widowControl/>
      <w:tabs>
        <w:tab w:val="clear" w:pos="360"/>
        <w:tab w:val="clear" w:pos="720"/>
      </w:tabs>
      <w:ind w:left="1440"/>
    </w:pPr>
    <w:rPr>
      <w:sz w:val="23"/>
    </w:rPr>
  </w:style>
  <w:style w:type="paragraph" w:customStyle="1" w:styleId="bulletsii">
    <w:name w:val="bullets (ii)"/>
    <w:basedOn w:val="bullets-123"/>
    <w:qFormat/>
    <w:rsid w:val="00615A6D"/>
    <w:pPr>
      <w:tabs>
        <w:tab w:val="clear" w:pos="1530"/>
      </w:tabs>
      <w:ind w:left="1710"/>
    </w:pPr>
  </w:style>
  <w:style w:type="paragraph" w:customStyle="1" w:styleId="normaltext0">
    <w:name w:val="normaltext"/>
    <w:basedOn w:val="Normal"/>
    <w:rsid w:val="00615A6D"/>
    <w:pPr>
      <w:autoSpaceDE w:val="0"/>
      <w:autoSpaceDN w:val="0"/>
      <w:spacing w:line="240" w:lineRule="auto"/>
      <w:ind w:firstLine="360"/>
    </w:pPr>
  </w:style>
  <w:style w:type="character" w:customStyle="1" w:styleId="apple-converted-space">
    <w:name w:val="apple-converted-space"/>
    <w:basedOn w:val="DefaultParagraphFont"/>
    <w:rsid w:val="00615A6D"/>
  </w:style>
  <w:style w:type="paragraph" w:customStyle="1" w:styleId="ColorfulShading-Accent31">
    <w:name w:val="Colorful Shading - Accent 31"/>
    <w:basedOn w:val="Normal"/>
    <w:uiPriority w:val="34"/>
    <w:qFormat/>
    <w:rsid w:val="00615A6D"/>
    <w:pPr>
      <w:spacing w:after="200" w:line="276" w:lineRule="auto"/>
      <w:ind w:left="720"/>
      <w:contextualSpacing/>
    </w:pPr>
    <w:rPr>
      <w:rFonts w:ascii="Calibri" w:eastAsia="Calibri" w:hAnsi="Calibri"/>
      <w:sz w:val="22"/>
      <w:szCs w:val="22"/>
    </w:rPr>
  </w:style>
  <w:style w:type="character" w:customStyle="1" w:styleId="citation-volume">
    <w:name w:val="citation-volume"/>
    <w:basedOn w:val="DefaultParagraphFont"/>
    <w:rsid w:val="00615A6D"/>
  </w:style>
  <w:style w:type="character" w:customStyle="1" w:styleId="citation-flpages">
    <w:name w:val="citation-flpages"/>
    <w:basedOn w:val="DefaultParagraphFont"/>
    <w:rsid w:val="00615A6D"/>
  </w:style>
  <w:style w:type="paragraph" w:customStyle="1" w:styleId="MediumGrid1-Accent22">
    <w:name w:val="Medium Grid 1 - Accent 22"/>
    <w:basedOn w:val="Normal"/>
    <w:uiPriority w:val="34"/>
    <w:qFormat/>
    <w:rsid w:val="00615A6D"/>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615A6D"/>
    <w:rPr>
      <w:rFonts w:asciiTheme="minorHAnsi" w:eastAsiaTheme="minorHAnsi" w:hAnsiTheme="minorHAnsi" w:cstheme="minorBidi"/>
      <w:sz w:val="22"/>
      <w:szCs w:val="22"/>
    </w:rPr>
  </w:style>
  <w:style w:type="paragraph" w:customStyle="1" w:styleId="bullets1">
    <w:name w:val="bullets 1"/>
    <w:basedOn w:val="Normal"/>
    <w:rsid w:val="00B05B50"/>
    <w:pPr>
      <w:numPr>
        <w:numId w:val="21"/>
      </w:numPr>
    </w:pPr>
  </w:style>
  <w:style w:type="character" w:customStyle="1" w:styleId="Hyperlink0">
    <w:name w:val="Hyperlink.0"/>
    <w:rsid w:val="00101E94"/>
    <w:rPr>
      <w:color w:val="0563C1"/>
      <w:sz w:val="18"/>
      <w:szCs w:val="18"/>
      <w:u w:val="single" w:color="0563C1"/>
    </w:rPr>
  </w:style>
  <w:style w:type="table" w:styleId="TableGrid">
    <w:name w:val="Table Grid"/>
    <w:basedOn w:val="TableNormal"/>
    <w:rsid w:val="006E3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7713">
      <w:bodyDiv w:val="1"/>
      <w:marLeft w:val="0"/>
      <w:marRight w:val="0"/>
      <w:marTop w:val="0"/>
      <w:marBottom w:val="0"/>
      <w:divBdr>
        <w:top w:val="none" w:sz="0" w:space="0" w:color="auto"/>
        <w:left w:val="none" w:sz="0" w:space="0" w:color="auto"/>
        <w:bottom w:val="none" w:sz="0" w:space="0" w:color="auto"/>
        <w:right w:val="none" w:sz="0" w:space="0" w:color="auto"/>
      </w:divBdr>
      <w:divsChild>
        <w:div w:id="1590039633">
          <w:marLeft w:val="0"/>
          <w:marRight w:val="0"/>
          <w:marTop w:val="0"/>
          <w:marBottom w:val="0"/>
          <w:divBdr>
            <w:top w:val="none" w:sz="0" w:space="0" w:color="auto"/>
            <w:left w:val="none" w:sz="0" w:space="0" w:color="auto"/>
            <w:bottom w:val="none" w:sz="0" w:space="0" w:color="auto"/>
            <w:right w:val="none" w:sz="0" w:space="0" w:color="auto"/>
          </w:divBdr>
          <w:divsChild>
            <w:div w:id="161940412">
              <w:marLeft w:val="0"/>
              <w:marRight w:val="0"/>
              <w:marTop w:val="0"/>
              <w:marBottom w:val="0"/>
              <w:divBdr>
                <w:top w:val="none" w:sz="0" w:space="0" w:color="auto"/>
                <w:left w:val="none" w:sz="0" w:space="0" w:color="auto"/>
                <w:bottom w:val="none" w:sz="0" w:space="0" w:color="auto"/>
                <w:right w:val="none" w:sz="0" w:space="0" w:color="auto"/>
              </w:divBdr>
              <w:divsChild>
                <w:div w:id="45111726">
                  <w:marLeft w:val="0"/>
                  <w:marRight w:val="0"/>
                  <w:marTop w:val="0"/>
                  <w:marBottom w:val="0"/>
                  <w:divBdr>
                    <w:top w:val="none" w:sz="0" w:space="0" w:color="auto"/>
                    <w:left w:val="none" w:sz="0" w:space="0" w:color="auto"/>
                    <w:bottom w:val="none" w:sz="0" w:space="0" w:color="auto"/>
                    <w:right w:val="none" w:sz="0" w:space="0" w:color="auto"/>
                  </w:divBdr>
                  <w:divsChild>
                    <w:div w:id="315688123">
                      <w:marLeft w:val="0"/>
                      <w:marRight w:val="0"/>
                      <w:marTop w:val="0"/>
                      <w:marBottom w:val="0"/>
                      <w:divBdr>
                        <w:top w:val="none" w:sz="0" w:space="0" w:color="auto"/>
                        <w:left w:val="none" w:sz="0" w:space="0" w:color="auto"/>
                        <w:bottom w:val="none" w:sz="0" w:space="0" w:color="auto"/>
                        <w:right w:val="none" w:sz="0" w:space="0" w:color="auto"/>
                      </w:divBdr>
                      <w:divsChild>
                        <w:div w:id="677539529">
                          <w:marLeft w:val="0"/>
                          <w:marRight w:val="0"/>
                          <w:marTop w:val="0"/>
                          <w:marBottom w:val="0"/>
                          <w:divBdr>
                            <w:top w:val="none" w:sz="0" w:space="0" w:color="auto"/>
                            <w:left w:val="none" w:sz="0" w:space="0" w:color="auto"/>
                            <w:bottom w:val="none" w:sz="0" w:space="0" w:color="auto"/>
                            <w:right w:val="none" w:sz="0" w:space="0" w:color="auto"/>
                          </w:divBdr>
                          <w:divsChild>
                            <w:div w:id="1193877874">
                              <w:marLeft w:val="0"/>
                              <w:marRight w:val="0"/>
                              <w:marTop w:val="0"/>
                              <w:marBottom w:val="150"/>
                              <w:divBdr>
                                <w:top w:val="none" w:sz="0" w:space="0" w:color="auto"/>
                                <w:left w:val="none" w:sz="0" w:space="0" w:color="auto"/>
                                <w:bottom w:val="none" w:sz="0" w:space="0" w:color="auto"/>
                                <w:right w:val="none" w:sz="0" w:space="0" w:color="auto"/>
                              </w:divBdr>
                              <w:divsChild>
                                <w:div w:id="993021739">
                                  <w:marLeft w:val="0"/>
                                  <w:marRight w:val="0"/>
                                  <w:marTop w:val="0"/>
                                  <w:marBottom w:val="0"/>
                                  <w:divBdr>
                                    <w:top w:val="none" w:sz="0" w:space="0" w:color="auto"/>
                                    <w:left w:val="none" w:sz="0" w:space="0" w:color="auto"/>
                                    <w:bottom w:val="none" w:sz="0" w:space="0" w:color="auto"/>
                                    <w:right w:val="none" w:sz="0" w:space="0" w:color="auto"/>
                                  </w:divBdr>
                                  <w:divsChild>
                                    <w:div w:id="1560095331">
                                      <w:marLeft w:val="0"/>
                                      <w:marRight w:val="0"/>
                                      <w:marTop w:val="0"/>
                                      <w:marBottom w:val="0"/>
                                      <w:divBdr>
                                        <w:top w:val="none" w:sz="0" w:space="0" w:color="auto"/>
                                        <w:left w:val="none" w:sz="0" w:space="0" w:color="auto"/>
                                        <w:bottom w:val="none" w:sz="0" w:space="0" w:color="auto"/>
                                        <w:right w:val="none" w:sz="0" w:space="0" w:color="auto"/>
                                      </w:divBdr>
                                      <w:divsChild>
                                        <w:div w:id="5733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13771">
                          <w:marLeft w:val="0"/>
                          <w:marRight w:val="0"/>
                          <w:marTop w:val="0"/>
                          <w:marBottom w:val="0"/>
                          <w:divBdr>
                            <w:top w:val="none" w:sz="0" w:space="0" w:color="auto"/>
                            <w:left w:val="none" w:sz="0" w:space="0" w:color="auto"/>
                            <w:bottom w:val="none" w:sz="0" w:space="0" w:color="auto"/>
                            <w:right w:val="none" w:sz="0" w:space="0" w:color="auto"/>
                          </w:divBdr>
                        </w:div>
                        <w:div w:id="383531446">
                          <w:marLeft w:val="0"/>
                          <w:marRight w:val="0"/>
                          <w:marTop w:val="0"/>
                          <w:marBottom w:val="0"/>
                          <w:divBdr>
                            <w:top w:val="none" w:sz="0" w:space="0" w:color="auto"/>
                            <w:left w:val="none" w:sz="0" w:space="0" w:color="auto"/>
                            <w:bottom w:val="none" w:sz="0" w:space="0" w:color="auto"/>
                            <w:right w:val="none" w:sz="0" w:space="0" w:color="auto"/>
                          </w:divBdr>
                          <w:divsChild>
                            <w:div w:id="1814176499">
                              <w:marLeft w:val="0"/>
                              <w:marRight w:val="0"/>
                              <w:marTop w:val="0"/>
                              <w:marBottom w:val="0"/>
                              <w:divBdr>
                                <w:top w:val="none" w:sz="0" w:space="0" w:color="auto"/>
                                <w:left w:val="none" w:sz="0" w:space="0" w:color="auto"/>
                                <w:bottom w:val="none" w:sz="0" w:space="0" w:color="auto"/>
                                <w:right w:val="none" w:sz="0" w:space="0" w:color="auto"/>
                              </w:divBdr>
                            </w:div>
                            <w:div w:id="1178347701">
                              <w:marLeft w:val="0"/>
                              <w:marRight w:val="0"/>
                              <w:marTop w:val="0"/>
                              <w:marBottom w:val="0"/>
                              <w:divBdr>
                                <w:top w:val="none" w:sz="0" w:space="0" w:color="auto"/>
                                <w:left w:val="none" w:sz="0" w:space="0" w:color="auto"/>
                                <w:bottom w:val="none" w:sz="0" w:space="0" w:color="auto"/>
                                <w:right w:val="none" w:sz="0" w:space="0" w:color="auto"/>
                              </w:divBdr>
                            </w:div>
                            <w:div w:id="185288629">
                              <w:marLeft w:val="0"/>
                              <w:marRight w:val="0"/>
                              <w:marTop w:val="0"/>
                              <w:marBottom w:val="0"/>
                              <w:divBdr>
                                <w:top w:val="none" w:sz="0" w:space="0" w:color="auto"/>
                                <w:left w:val="none" w:sz="0" w:space="0" w:color="auto"/>
                                <w:bottom w:val="none" w:sz="0" w:space="0" w:color="auto"/>
                                <w:right w:val="none" w:sz="0" w:space="0" w:color="auto"/>
                              </w:divBdr>
                            </w:div>
                            <w:div w:id="48460818">
                              <w:marLeft w:val="0"/>
                              <w:marRight w:val="0"/>
                              <w:marTop w:val="0"/>
                              <w:marBottom w:val="0"/>
                              <w:divBdr>
                                <w:top w:val="none" w:sz="0" w:space="0" w:color="auto"/>
                                <w:left w:val="none" w:sz="0" w:space="0" w:color="auto"/>
                                <w:bottom w:val="none" w:sz="0" w:space="0" w:color="auto"/>
                                <w:right w:val="none" w:sz="0" w:space="0" w:color="auto"/>
                              </w:divBdr>
                            </w:div>
                            <w:div w:id="55931076">
                              <w:marLeft w:val="0"/>
                              <w:marRight w:val="0"/>
                              <w:marTop w:val="0"/>
                              <w:marBottom w:val="0"/>
                              <w:divBdr>
                                <w:top w:val="none" w:sz="0" w:space="0" w:color="auto"/>
                                <w:left w:val="none" w:sz="0" w:space="0" w:color="auto"/>
                                <w:bottom w:val="none" w:sz="0" w:space="0" w:color="auto"/>
                                <w:right w:val="none" w:sz="0" w:space="0" w:color="auto"/>
                              </w:divBdr>
                            </w:div>
                            <w:div w:id="1213007928">
                              <w:marLeft w:val="0"/>
                              <w:marRight w:val="0"/>
                              <w:marTop w:val="0"/>
                              <w:marBottom w:val="0"/>
                              <w:divBdr>
                                <w:top w:val="none" w:sz="0" w:space="0" w:color="auto"/>
                                <w:left w:val="none" w:sz="0" w:space="0" w:color="auto"/>
                                <w:bottom w:val="none" w:sz="0" w:space="0" w:color="auto"/>
                                <w:right w:val="none" w:sz="0" w:space="0" w:color="auto"/>
                              </w:divBdr>
                            </w:div>
                            <w:div w:id="1581523986">
                              <w:marLeft w:val="0"/>
                              <w:marRight w:val="0"/>
                              <w:marTop w:val="0"/>
                              <w:marBottom w:val="0"/>
                              <w:divBdr>
                                <w:top w:val="none" w:sz="0" w:space="0" w:color="auto"/>
                                <w:left w:val="none" w:sz="0" w:space="0" w:color="auto"/>
                                <w:bottom w:val="none" w:sz="0" w:space="0" w:color="auto"/>
                                <w:right w:val="none" w:sz="0" w:space="0" w:color="auto"/>
                              </w:divBdr>
                            </w:div>
                            <w:div w:id="1565530885">
                              <w:marLeft w:val="0"/>
                              <w:marRight w:val="0"/>
                              <w:marTop w:val="0"/>
                              <w:marBottom w:val="0"/>
                              <w:divBdr>
                                <w:top w:val="none" w:sz="0" w:space="0" w:color="auto"/>
                                <w:left w:val="none" w:sz="0" w:space="0" w:color="auto"/>
                                <w:bottom w:val="none" w:sz="0" w:space="0" w:color="auto"/>
                                <w:right w:val="none" w:sz="0" w:space="0" w:color="auto"/>
                              </w:divBdr>
                            </w:div>
                            <w:div w:id="1748654037">
                              <w:marLeft w:val="0"/>
                              <w:marRight w:val="0"/>
                              <w:marTop w:val="0"/>
                              <w:marBottom w:val="0"/>
                              <w:divBdr>
                                <w:top w:val="none" w:sz="0" w:space="0" w:color="auto"/>
                                <w:left w:val="none" w:sz="0" w:space="0" w:color="auto"/>
                                <w:bottom w:val="none" w:sz="0" w:space="0" w:color="auto"/>
                                <w:right w:val="none" w:sz="0" w:space="0" w:color="auto"/>
                              </w:divBdr>
                            </w:div>
                            <w:div w:id="8517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30469">
                  <w:marLeft w:val="0"/>
                  <w:marRight w:val="0"/>
                  <w:marTop w:val="0"/>
                  <w:marBottom w:val="0"/>
                  <w:divBdr>
                    <w:top w:val="none" w:sz="0" w:space="0" w:color="auto"/>
                    <w:left w:val="none" w:sz="0" w:space="0" w:color="auto"/>
                    <w:bottom w:val="none" w:sz="0" w:space="0" w:color="auto"/>
                    <w:right w:val="none" w:sz="0" w:space="0" w:color="auto"/>
                  </w:divBdr>
                  <w:divsChild>
                    <w:div w:id="2137284924">
                      <w:marLeft w:val="0"/>
                      <w:marRight w:val="0"/>
                      <w:marTop w:val="0"/>
                      <w:marBottom w:val="300"/>
                      <w:divBdr>
                        <w:top w:val="none" w:sz="0" w:space="0" w:color="auto"/>
                        <w:left w:val="none" w:sz="0" w:space="0" w:color="auto"/>
                        <w:bottom w:val="none" w:sz="0" w:space="0" w:color="auto"/>
                        <w:right w:val="none" w:sz="0" w:space="0" w:color="auto"/>
                      </w:divBdr>
                    </w:div>
                    <w:div w:id="828790917">
                      <w:marLeft w:val="0"/>
                      <w:marRight w:val="0"/>
                      <w:marTop w:val="0"/>
                      <w:marBottom w:val="300"/>
                      <w:divBdr>
                        <w:top w:val="none" w:sz="0" w:space="0" w:color="auto"/>
                        <w:left w:val="none" w:sz="0" w:space="0" w:color="auto"/>
                        <w:bottom w:val="none" w:sz="0" w:space="0" w:color="auto"/>
                        <w:right w:val="none" w:sz="0" w:space="0" w:color="auto"/>
                      </w:divBdr>
                    </w:div>
                    <w:div w:id="2107073243">
                      <w:marLeft w:val="0"/>
                      <w:marRight w:val="0"/>
                      <w:marTop w:val="0"/>
                      <w:marBottom w:val="300"/>
                      <w:divBdr>
                        <w:top w:val="none" w:sz="0" w:space="0" w:color="auto"/>
                        <w:left w:val="none" w:sz="0" w:space="0" w:color="auto"/>
                        <w:bottom w:val="none" w:sz="0" w:space="0" w:color="auto"/>
                        <w:right w:val="none" w:sz="0" w:space="0" w:color="auto"/>
                      </w:divBdr>
                    </w:div>
                    <w:div w:id="1837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40875">
      <w:bodyDiv w:val="1"/>
      <w:marLeft w:val="0"/>
      <w:marRight w:val="0"/>
      <w:marTop w:val="0"/>
      <w:marBottom w:val="0"/>
      <w:divBdr>
        <w:top w:val="none" w:sz="0" w:space="0" w:color="auto"/>
        <w:left w:val="none" w:sz="0" w:space="0" w:color="auto"/>
        <w:bottom w:val="none" w:sz="0" w:space="0" w:color="auto"/>
        <w:right w:val="none" w:sz="0" w:space="0" w:color="auto"/>
      </w:divBdr>
      <w:divsChild>
        <w:div w:id="988090647">
          <w:marLeft w:val="0"/>
          <w:marRight w:val="0"/>
          <w:marTop w:val="0"/>
          <w:marBottom w:val="0"/>
          <w:divBdr>
            <w:top w:val="none" w:sz="0" w:space="0" w:color="auto"/>
            <w:left w:val="none" w:sz="0" w:space="0" w:color="auto"/>
            <w:bottom w:val="none" w:sz="0" w:space="0" w:color="auto"/>
            <w:right w:val="none" w:sz="0" w:space="0" w:color="auto"/>
          </w:divBdr>
          <w:divsChild>
            <w:div w:id="389496356">
              <w:marLeft w:val="0"/>
              <w:marRight w:val="0"/>
              <w:marTop w:val="0"/>
              <w:marBottom w:val="0"/>
              <w:divBdr>
                <w:top w:val="none" w:sz="0" w:space="0" w:color="auto"/>
                <w:left w:val="none" w:sz="0" w:space="0" w:color="auto"/>
                <w:bottom w:val="none" w:sz="0" w:space="0" w:color="auto"/>
                <w:right w:val="none" w:sz="0" w:space="0" w:color="auto"/>
              </w:divBdr>
              <w:divsChild>
                <w:div w:id="957373611">
                  <w:marLeft w:val="0"/>
                  <w:marRight w:val="0"/>
                  <w:marTop w:val="0"/>
                  <w:marBottom w:val="0"/>
                  <w:divBdr>
                    <w:top w:val="none" w:sz="0" w:space="0" w:color="auto"/>
                    <w:left w:val="none" w:sz="0" w:space="0" w:color="auto"/>
                    <w:bottom w:val="none" w:sz="0" w:space="0" w:color="auto"/>
                    <w:right w:val="none" w:sz="0" w:space="0" w:color="auto"/>
                  </w:divBdr>
                  <w:divsChild>
                    <w:div w:id="1566069641">
                      <w:marLeft w:val="0"/>
                      <w:marRight w:val="0"/>
                      <w:marTop w:val="0"/>
                      <w:marBottom w:val="0"/>
                      <w:divBdr>
                        <w:top w:val="none" w:sz="0" w:space="0" w:color="auto"/>
                        <w:left w:val="none" w:sz="0" w:space="0" w:color="auto"/>
                        <w:bottom w:val="none" w:sz="0" w:space="0" w:color="auto"/>
                        <w:right w:val="none" w:sz="0" w:space="0" w:color="auto"/>
                      </w:divBdr>
                      <w:divsChild>
                        <w:div w:id="1804300222">
                          <w:marLeft w:val="0"/>
                          <w:marRight w:val="0"/>
                          <w:marTop w:val="0"/>
                          <w:marBottom w:val="0"/>
                          <w:divBdr>
                            <w:top w:val="none" w:sz="0" w:space="0" w:color="auto"/>
                            <w:left w:val="none" w:sz="0" w:space="0" w:color="auto"/>
                            <w:bottom w:val="none" w:sz="0" w:space="0" w:color="auto"/>
                            <w:right w:val="none" w:sz="0" w:space="0" w:color="auto"/>
                          </w:divBdr>
                          <w:divsChild>
                            <w:div w:id="330764551">
                              <w:marLeft w:val="0"/>
                              <w:marRight w:val="0"/>
                              <w:marTop w:val="0"/>
                              <w:marBottom w:val="0"/>
                              <w:divBdr>
                                <w:top w:val="none" w:sz="0" w:space="0" w:color="auto"/>
                                <w:left w:val="none" w:sz="0" w:space="0" w:color="auto"/>
                                <w:bottom w:val="none" w:sz="0" w:space="0" w:color="auto"/>
                                <w:right w:val="none" w:sz="0" w:space="0" w:color="auto"/>
                              </w:divBdr>
                              <w:divsChild>
                                <w:div w:id="251592844">
                                  <w:marLeft w:val="0"/>
                                  <w:marRight w:val="0"/>
                                  <w:marTop w:val="0"/>
                                  <w:marBottom w:val="0"/>
                                  <w:divBdr>
                                    <w:top w:val="none" w:sz="0" w:space="0" w:color="auto"/>
                                    <w:left w:val="none" w:sz="0" w:space="0" w:color="auto"/>
                                    <w:bottom w:val="none" w:sz="0" w:space="0" w:color="auto"/>
                                    <w:right w:val="none" w:sz="0" w:space="0" w:color="auto"/>
                                  </w:divBdr>
                                  <w:divsChild>
                                    <w:div w:id="1897549272">
                                      <w:marLeft w:val="0"/>
                                      <w:marRight w:val="0"/>
                                      <w:marTop w:val="0"/>
                                      <w:marBottom w:val="0"/>
                                      <w:divBdr>
                                        <w:top w:val="none" w:sz="0" w:space="0" w:color="auto"/>
                                        <w:left w:val="none" w:sz="0" w:space="0" w:color="auto"/>
                                        <w:bottom w:val="none" w:sz="0" w:space="0" w:color="auto"/>
                                        <w:right w:val="none" w:sz="0" w:space="0" w:color="auto"/>
                                      </w:divBdr>
                                      <w:divsChild>
                                        <w:div w:id="1901473438">
                                          <w:marLeft w:val="0"/>
                                          <w:marRight w:val="0"/>
                                          <w:marTop w:val="0"/>
                                          <w:marBottom w:val="0"/>
                                          <w:divBdr>
                                            <w:top w:val="none" w:sz="0" w:space="0" w:color="auto"/>
                                            <w:left w:val="none" w:sz="0" w:space="0" w:color="auto"/>
                                            <w:bottom w:val="none" w:sz="0" w:space="0" w:color="auto"/>
                                            <w:right w:val="none" w:sz="0" w:space="0" w:color="auto"/>
                                          </w:divBdr>
                                          <w:divsChild>
                                            <w:div w:id="1984962347">
                                              <w:marLeft w:val="0"/>
                                              <w:marRight w:val="0"/>
                                              <w:marTop w:val="0"/>
                                              <w:marBottom w:val="0"/>
                                              <w:divBdr>
                                                <w:top w:val="none" w:sz="0" w:space="0" w:color="auto"/>
                                                <w:left w:val="none" w:sz="0" w:space="0" w:color="auto"/>
                                                <w:bottom w:val="none" w:sz="0" w:space="0" w:color="auto"/>
                                                <w:right w:val="none" w:sz="0" w:space="0" w:color="auto"/>
                                              </w:divBdr>
                                              <w:divsChild>
                                                <w:div w:id="1752045412">
                                                  <w:marLeft w:val="0"/>
                                                  <w:marRight w:val="0"/>
                                                  <w:marTop w:val="0"/>
                                                  <w:marBottom w:val="0"/>
                                                  <w:divBdr>
                                                    <w:top w:val="none" w:sz="0" w:space="0" w:color="auto"/>
                                                    <w:left w:val="none" w:sz="0" w:space="0" w:color="auto"/>
                                                    <w:bottom w:val="none" w:sz="0" w:space="0" w:color="auto"/>
                                                    <w:right w:val="none" w:sz="0" w:space="0" w:color="auto"/>
                                                  </w:divBdr>
                                                  <w:divsChild>
                                                    <w:div w:id="1756513984">
                                                      <w:marLeft w:val="0"/>
                                                      <w:marRight w:val="0"/>
                                                      <w:marTop w:val="0"/>
                                                      <w:marBottom w:val="0"/>
                                                      <w:divBdr>
                                                        <w:top w:val="none" w:sz="0" w:space="0" w:color="auto"/>
                                                        <w:left w:val="none" w:sz="0" w:space="0" w:color="auto"/>
                                                        <w:bottom w:val="none" w:sz="0" w:space="0" w:color="auto"/>
                                                        <w:right w:val="none" w:sz="0" w:space="0" w:color="auto"/>
                                                      </w:divBdr>
                                                      <w:divsChild>
                                                        <w:div w:id="590698356">
                                                          <w:marLeft w:val="0"/>
                                                          <w:marRight w:val="0"/>
                                                          <w:marTop w:val="0"/>
                                                          <w:marBottom w:val="0"/>
                                                          <w:divBdr>
                                                            <w:top w:val="none" w:sz="0" w:space="0" w:color="auto"/>
                                                            <w:left w:val="none" w:sz="0" w:space="0" w:color="auto"/>
                                                            <w:bottom w:val="none" w:sz="0" w:space="0" w:color="auto"/>
                                                            <w:right w:val="none" w:sz="0" w:space="0" w:color="auto"/>
                                                          </w:divBdr>
                                                          <w:divsChild>
                                                            <w:div w:id="1918633363">
                                                              <w:marLeft w:val="0"/>
                                                              <w:marRight w:val="0"/>
                                                              <w:marTop w:val="0"/>
                                                              <w:marBottom w:val="0"/>
                                                              <w:divBdr>
                                                                <w:top w:val="none" w:sz="0" w:space="0" w:color="auto"/>
                                                                <w:left w:val="none" w:sz="0" w:space="0" w:color="auto"/>
                                                                <w:bottom w:val="none" w:sz="0" w:space="0" w:color="auto"/>
                                                                <w:right w:val="none" w:sz="0" w:space="0" w:color="auto"/>
                                                              </w:divBdr>
                                                              <w:divsChild>
                                                                <w:div w:id="907149462">
                                                                  <w:marLeft w:val="0"/>
                                                                  <w:marRight w:val="0"/>
                                                                  <w:marTop w:val="0"/>
                                                                  <w:marBottom w:val="0"/>
                                                                  <w:divBdr>
                                                                    <w:top w:val="none" w:sz="0" w:space="0" w:color="auto"/>
                                                                    <w:left w:val="none" w:sz="0" w:space="0" w:color="auto"/>
                                                                    <w:bottom w:val="none" w:sz="0" w:space="0" w:color="auto"/>
                                                                    <w:right w:val="none" w:sz="0" w:space="0" w:color="auto"/>
                                                                  </w:divBdr>
                                                                  <w:divsChild>
                                                                    <w:div w:id="2126776008">
                                                                      <w:marLeft w:val="0"/>
                                                                      <w:marRight w:val="0"/>
                                                                      <w:marTop w:val="0"/>
                                                                      <w:marBottom w:val="0"/>
                                                                      <w:divBdr>
                                                                        <w:top w:val="none" w:sz="0" w:space="0" w:color="auto"/>
                                                                        <w:left w:val="none" w:sz="0" w:space="0" w:color="auto"/>
                                                                        <w:bottom w:val="none" w:sz="0" w:space="0" w:color="auto"/>
                                                                        <w:right w:val="none" w:sz="0" w:space="0" w:color="auto"/>
                                                                      </w:divBdr>
                                                                      <w:divsChild>
                                                                        <w:div w:id="1126655723">
                                                                          <w:marLeft w:val="0"/>
                                                                          <w:marRight w:val="0"/>
                                                                          <w:marTop w:val="0"/>
                                                                          <w:marBottom w:val="0"/>
                                                                          <w:divBdr>
                                                                            <w:top w:val="none" w:sz="0" w:space="0" w:color="auto"/>
                                                                            <w:left w:val="none" w:sz="0" w:space="0" w:color="auto"/>
                                                                            <w:bottom w:val="none" w:sz="0" w:space="0" w:color="auto"/>
                                                                            <w:right w:val="none" w:sz="0" w:space="0" w:color="auto"/>
                                                                          </w:divBdr>
                                                                          <w:divsChild>
                                                                            <w:div w:id="896211296">
                                                                              <w:marLeft w:val="0"/>
                                                                              <w:marRight w:val="0"/>
                                                                              <w:marTop w:val="0"/>
                                                                              <w:marBottom w:val="0"/>
                                                                              <w:divBdr>
                                                                                <w:top w:val="none" w:sz="0" w:space="0" w:color="auto"/>
                                                                                <w:left w:val="none" w:sz="0" w:space="0" w:color="auto"/>
                                                                                <w:bottom w:val="none" w:sz="0" w:space="0" w:color="auto"/>
                                                                                <w:right w:val="none" w:sz="0" w:space="0" w:color="auto"/>
                                                                              </w:divBdr>
                                                                              <w:divsChild>
                                                                                <w:div w:id="277178744">
                                                                                  <w:marLeft w:val="0"/>
                                                                                  <w:marRight w:val="0"/>
                                                                                  <w:marTop w:val="0"/>
                                                                                  <w:marBottom w:val="0"/>
                                                                                  <w:divBdr>
                                                                                    <w:top w:val="none" w:sz="0" w:space="0" w:color="auto"/>
                                                                                    <w:left w:val="none" w:sz="0" w:space="0" w:color="auto"/>
                                                                                    <w:bottom w:val="none" w:sz="0" w:space="0" w:color="auto"/>
                                                                                    <w:right w:val="none" w:sz="0" w:space="0" w:color="auto"/>
                                                                                  </w:divBdr>
                                                                                  <w:divsChild>
                                                                                    <w:div w:id="1694261360">
                                                                                      <w:marLeft w:val="0"/>
                                                                                      <w:marRight w:val="0"/>
                                                                                      <w:marTop w:val="0"/>
                                                                                      <w:marBottom w:val="0"/>
                                                                                      <w:divBdr>
                                                                                        <w:top w:val="none" w:sz="0" w:space="0" w:color="auto"/>
                                                                                        <w:left w:val="none" w:sz="0" w:space="0" w:color="auto"/>
                                                                                        <w:bottom w:val="none" w:sz="0" w:space="0" w:color="auto"/>
                                                                                        <w:right w:val="none" w:sz="0" w:space="0" w:color="auto"/>
                                                                                      </w:divBdr>
                                                                                      <w:divsChild>
                                                                                        <w:div w:id="1846892572">
                                                                                          <w:marLeft w:val="0"/>
                                                                                          <w:marRight w:val="0"/>
                                                                                          <w:marTop w:val="0"/>
                                                                                          <w:marBottom w:val="0"/>
                                                                                          <w:divBdr>
                                                                                            <w:top w:val="none" w:sz="0" w:space="0" w:color="auto"/>
                                                                                            <w:left w:val="none" w:sz="0" w:space="0" w:color="auto"/>
                                                                                            <w:bottom w:val="none" w:sz="0" w:space="0" w:color="auto"/>
                                                                                            <w:right w:val="none" w:sz="0" w:space="0" w:color="auto"/>
                                                                                          </w:divBdr>
                                                                                          <w:divsChild>
                                                                                            <w:div w:id="704257826">
                                                                                              <w:marLeft w:val="0"/>
                                                                                              <w:marRight w:val="0"/>
                                                                                              <w:marTop w:val="0"/>
                                                                                              <w:marBottom w:val="0"/>
                                                                                              <w:divBdr>
                                                                                                <w:top w:val="none" w:sz="0" w:space="0" w:color="auto"/>
                                                                                                <w:left w:val="none" w:sz="0" w:space="0" w:color="auto"/>
                                                                                                <w:bottom w:val="none" w:sz="0" w:space="0" w:color="auto"/>
                                                                                                <w:right w:val="none" w:sz="0" w:space="0" w:color="auto"/>
                                                                                              </w:divBdr>
                                                                                              <w:divsChild>
                                                                                                <w:div w:id="289942963">
                                                                                                  <w:marLeft w:val="0"/>
                                                                                                  <w:marRight w:val="0"/>
                                                                                                  <w:marTop w:val="0"/>
                                                                                                  <w:marBottom w:val="0"/>
                                                                                                  <w:divBdr>
                                                                                                    <w:top w:val="none" w:sz="0" w:space="0" w:color="auto"/>
                                                                                                    <w:left w:val="none" w:sz="0" w:space="0" w:color="auto"/>
                                                                                                    <w:bottom w:val="none" w:sz="0" w:space="0" w:color="auto"/>
                                                                                                    <w:right w:val="none" w:sz="0" w:space="0" w:color="auto"/>
                                                                                                  </w:divBdr>
                                                                                                  <w:divsChild>
                                                                                                    <w:div w:id="68230896">
                                                                                                      <w:marLeft w:val="0"/>
                                                                                                      <w:marRight w:val="0"/>
                                                                                                      <w:marTop w:val="0"/>
                                                                                                      <w:marBottom w:val="0"/>
                                                                                                      <w:divBdr>
                                                                                                        <w:top w:val="none" w:sz="0" w:space="0" w:color="auto"/>
                                                                                                        <w:left w:val="none" w:sz="0" w:space="0" w:color="auto"/>
                                                                                                        <w:bottom w:val="none" w:sz="0" w:space="0" w:color="auto"/>
                                                                                                        <w:right w:val="none" w:sz="0" w:space="0" w:color="auto"/>
                                                                                                      </w:divBdr>
                                                                                                      <w:divsChild>
                                                                                                        <w:div w:id="1853763805">
                                                                                                          <w:marLeft w:val="0"/>
                                                                                                          <w:marRight w:val="0"/>
                                                                                                          <w:marTop w:val="0"/>
                                                                                                          <w:marBottom w:val="0"/>
                                                                                                          <w:divBdr>
                                                                                                            <w:top w:val="none" w:sz="0" w:space="0" w:color="auto"/>
                                                                                                            <w:left w:val="none" w:sz="0" w:space="0" w:color="auto"/>
                                                                                                            <w:bottom w:val="none" w:sz="0" w:space="0" w:color="auto"/>
                                                                                                            <w:right w:val="none" w:sz="0" w:space="0" w:color="auto"/>
                                                                                                          </w:divBdr>
                                                                                                          <w:divsChild>
                                                                                                            <w:div w:id="1550220405">
                                                                                                              <w:marLeft w:val="0"/>
                                                                                                              <w:marRight w:val="0"/>
                                                                                                              <w:marTop w:val="0"/>
                                                                                                              <w:marBottom w:val="0"/>
                                                                                                              <w:divBdr>
                                                                                                                <w:top w:val="none" w:sz="0" w:space="0" w:color="auto"/>
                                                                                                                <w:left w:val="none" w:sz="0" w:space="0" w:color="auto"/>
                                                                                                                <w:bottom w:val="none" w:sz="0" w:space="0" w:color="auto"/>
                                                                                                                <w:right w:val="none" w:sz="0" w:space="0" w:color="auto"/>
                                                                                                              </w:divBdr>
                                                                                                              <w:divsChild>
                                                                                                                <w:div w:id="1373730029">
                                                                                                                  <w:marLeft w:val="0"/>
                                                                                                                  <w:marRight w:val="0"/>
                                                                                                                  <w:marTop w:val="0"/>
                                                                                                                  <w:marBottom w:val="0"/>
                                                                                                                  <w:divBdr>
                                                                                                                    <w:top w:val="none" w:sz="0" w:space="0" w:color="auto"/>
                                                                                                                    <w:left w:val="none" w:sz="0" w:space="0" w:color="auto"/>
                                                                                                                    <w:bottom w:val="none" w:sz="0" w:space="0" w:color="auto"/>
                                                                                                                    <w:right w:val="none" w:sz="0" w:space="0" w:color="auto"/>
                                                                                                                  </w:divBdr>
                                                                                                                  <w:divsChild>
                                                                                                                    <w:div w:id="1031104321">
                                                                                                                      <w:marLeft w:val="0"/>
                                                                                                                      <w:marRight w:val="0"/>
                                                                                                                      <w:marTop w:val="0"/>
                                                                                                                      <w:marBottom w:val="0"/>
                                                                                                                      <w:divBdr>
                                                                                                                        <w:top w:val="none" w:sz="0" w:space="0" w:color="auto"/>
                                                                                                                        <w:left w:val="none" w:sz="0" w:space="0" w:color="auto"/>
                                                                                                                        <w:bottom w:val="none" w:sz="0" w:space="0" w:color="auto"/>
                                                                                                                        <w:right w:val="none" w:sz="0" w:space="0" w:color="auto"/>
                                                                                                                      </w:divBdr>
                                                                                                                      <w:divsChild>
                                                                                                                        <w:div w:id="2073192529">
                                                                                                                          <w:marLeft w:val="0"/>
                                                                                                                          <w:marRight w:val="0"/>
                                                                                                                          <w:marTop w:val="0"/>
                                                                                                                          <w:marBottom w:val="0"/>
                                                                                                                          <w:divBdr>
                                                                                                                            <w:top w:val="none" w:sz="0" w:space="0" w:color="auto"/>
                                                                                                                            <w:left w:val="none" w:sz="0" w:space="0" w:color="auto"/>
                                                                                                                            <w:bottom w:val="none" w:sz="0" w:space="0" w:color="auto"/>
                                                                                                                            <w:right w:val="none" w:sz="0" w:space="0" w:color="auto"/>
                                                                                                                          </w:divBdr>
                                                                                                                          <w:divsChild>
                                                                                                                            <w:div w:id="1442451369">
                                                                                                                              <w:marLeft w:val="0"/>
                                                                                                                              <w:marRight w:val="0"/>
                                                                                                                              <w:marTop w:val="0"/>
                                                                                                                              <w:marBottom w:val="0"/>
                                                                                                                              <w:divBdr>
                                                                                                                                <w:top w:val="none" w:sz="0" w:space="0" w:color="auto"/>
                                                                                                                                <w:left w:val="none" w:sz="0" w:space="0" w:color="auto"/>
                                                                                                                                <w:bottom w:val="none" w:sz="0" w:space="0" w:color="auto"/>
                                                                                                                                <w:right w:val="none" w:sz="0" w:space="0" w:color="auto"/>
                                                                                                                              </w:divBdr>
                                                                                                                              <w:divsChild>
                                                                                                                                <w:div w:id="1302805226">
                                                                                                                                  <w:marLeft w:val="0"/>
                                                                                                                                  <w:marRight w:val="0"/>
                                                                                                                                  <w:marTop w:val="0"/>
                                                                                                                                  <w:marBottom w:val="0"/>
                                                                                                                                  <w:divBdr>
                                                                                                                                    <w:top w:val="none" w:sz="0" w:space="0" w:color="auto"/>
                                                                                                                                    <w:left w:val="none" w:sz="0" w:space="0" w:color="auto"/>
                                                                                                                                    <w:bottom w:val="none" w:sz="0" w:space="0" w:color="auto"/>
                                                                                                                                    <w:right w:val="none" w:sz="0" w:space="0" w:color="auto"/>
                                                                                                                                  </w:divBdr>
                                                                                                                                  <w:divsChild>
                                                                                                                                    <w:div w:id="72510011">
                                                                                                                                      <w:marLeft w:val="0"/>
                                                                                                                                      <w:marRight w:val="0"/>
                                                                                                                                      <w:marTop w:val="0"/>
                                                                                                                                      <w:marBottom w:val="0"/>
                                                                                                                                      <w:divBdr>
                                                                                                                                        <w:top w:val="none" w:sz="0" w:space="0" w:color="auto"/>
                                                                                                                                        <w:left w:val="none" w:sz="0" w:space="0" w:color="auto"/>
                                                                                                                                        <w:bottom w:val="none" w:sz="0" w:space="0" w:color="auto"/>
                                                                                                                                        <w:right w:val="none" w:sz="0" w:space="0" w:color="auto"/>
                                                                                                                                      </w:divBdr>
                                                                                                                                      <w:divsChild>
                                                                                                                                        <w:div w:id="1894851421">
                                                                                                                                          <w:marLeft w:val="0"/>
                                                                                                                                          <w:marRight w:val="0"/>
                                                                                                                                          <w:marTop w:val="0"/>
                                                                                                                                          <w:marBottom w:val="0"/>
                                                                                                                                          <w:divBdr>
                                                                                                                                            <w:top w:val="none" w:sz="0" w:space="0" w:color="auto"/>
                                                                                                                                            <w:left w:val="none" w:sz="0" w:space="0" w:color="auto"/>
                                                                                                                                            <w:bottom w:val="none" w:sz="0" w:space="0" w:color="auto"/>
                                                                                                                                            <w:right w:val="none" w:sz="0" w:space="0" w:color="auto"/>
                                                                                                                                          </w:divBdr>
                                                                                                                                          <w:divsChild>
                                                                                                                                            <w:div w:id="727070875">
                                                                                                                                              <w:marLeft w:val="0"/>
                                                                                                                                              <w:marRight w:val="0"/>
                                                                                                                                              <w:marTop w:val="0"/>
                                                                                                                                              <w:marBottom w:val="0"/>
                                                                                                                                              <w:divBdr>
                                                                                                                                                <w:top w:val="none" w:sz="0" w:space="0" w:color="auto"/>
                                                                                                                                                <w:left w:val="none" w:sz="0" w:space="0" w:color="auto"/>
                                                                                                                                                <w:bottom w:val="none" w:sz="0" w:space="0" w:color="auto"/>
                                                                                                                                                <w:right w:val="none" w:sz="0" w:space="0" w:color="auto"/>
                                                                                                                                              </w:divBdr>
                                                                                                                                              <w:divsChild>
                                                                                                                                                <w:div w:id="1672566405">
                                                                                                                                                  <w:marLeft w:val="0"/>
                                                                                                                                                  <w:marRight w:val="0"/>
                                                                                                                                                  <w:marTop w:val="0"/>
                                                                                                                                                  <w:marBottom w:val="0"/>
                                                                                                                                                  <w:divBdr>
                                                                                                                                                    <w:top w:val="none" w:sz="0" w:space="0" w:color="auto"/>
                                                                                                                                                    <w:left w:val="none" w:sz="0" w:space="0" w:color="auto"/>
                                                                                                                                                    <w:bottom w:val="none" w:sz="0" w:space="0" w:color="auto"/>
                                                                                                                                                    <w:right w:val="none" w:sz="0" w:space="0" w:color="auto"/>
                                                                                                                                                  </w:divBdr>
                                                                                                                                                  <w:divsChild>
                                                                                                                                                    <w:div w:id="1262254902">
                                                                                                                                                      <w:marLeft w:val="0"/>
                                                                                                                                                      <w:marRight w:val="0"/>
                                                                                                                                                      <w:marTop w:val="0"/>
                                                                                                                                                      <w:marBottom w:val="0"/>
                                                                                                                                                      <w:divBdr>
                                                                                                                                                        <w:top w:val="none" w:sz="0" w:space="0" w:color="auto"/>
                                                                                                                                                        <w:left w:val="none" w:sz="0" w:space="0" w:color="auto"/>
                                                                                                                                                        <w:bottom w:val="none" w:sz="0" w:space="0" w:color="auto"/>
                                                                                                                                                        <w:right w:val="none" w:sz="0" w:space="0" w:color="auto"/>
                                                                                                                                                      </w:divBdr>
                                                                                                                                                      <w:divsChild>
                                                                                                                                                        <w:div w:id="1035156608">
                                                                                                                                                          <w:marLeft w:val="0"/>
                                                                                                                                                          <w:marRight w:val="0"/>
                                                                                                                                                          <w:marTop w:val="0"/>
                                                                                                                                                          <w:marBottom w:val="0"/>
                                                                                                                                                          <w:divBdr>
                                                                                                                                                            <w:top w:val="none" w:sz="0" w:space="0" w:color="auto"/>
                                                                                                                                                            <w:left w:val="none" w:sz="0" w:space="0" w:color="auto"/>
                                                                                                                                                            <w:bottom w:val="none" w:sz="0" w:space="0" w:color="auto"/>
                                                                                                                                                            <w:right w:val="none" w:sz="0" w:space="0" w:color="auto"/>
                                                                                                                                                          </w:divBdr>
                                                                                                                                                          <w:divsChild>
                                                                                                                                                            <w:div w:id="157149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61916">
      <w:bodyDiv w:val="1"/>
      <w:marLeft w:val="0"/>
      <w:marRight w:val="0"/>
      <w:marTop w:val="0"/>
      <w:marBottom w:val="0"/>
      <w:divBdr>
        <w:top w:val="none" w:sz="0" w:space="0" w:color="auto"/>
        <w:left w:val="none" w:sz="0" w:space="0" w:color="auto"/>
        <w:bottom w:val="none" w:sz="0" w:space="0" w:color="auto"/>
        <w:right w:val="none" w:sz="0" w:space="0" w:color="auto"/>
      </w:divBdr>
    </w:div>
    <w:div w:id="116334045">
      <w:bodyDiv w:val="1"/>
      <w:marLeft w:val="0"/>
      <w:marRight w:val="0"/>
      <w:marTop w:val="0"/>
      <w:marBottom w:val="0"/>
      <w:divBdr>
        <w:top w:val="none" w:sz="0" w:space="0" w:color="auto"/>
        <w:left w:val="none" w:sz="0" w:space="0" w:color="auto"/>
        <w:bottom w:val="none" w:sz="0" w:space="0" w:color="auto"/>
        <w:right w:val="none" w:sz="0" w:space="0" w:color="auto"/>
      </w:divBdr>
    </w:div>
    <w:div w:id="149450186">
      <w:bodyDiv w:val="1"/>
      <w:marLeft w:val="0"/>
      <w:marRight w:val="0"/>
      <w:marTop w:val="0"/>
      <w:marBottom w:val="0"/>
      <w:divBdr>
        <w:top w:val="none" w:sz="0" w:space="0" w:color="auto"/>
        <w:left w:val="none" w:sz="0" w:space="0" w:color="auto"/>
        <w:bottom w:val="none" w:sz="0" w:space="0" w:color="auto"/>
        <w:right w:val="none" w:sz="0" w:space="0" w:color="auto"/>
      </w:divBdr>
      <w:divsChild>
        <w:div w:id="1914193037">
          <w:marLeft w:val="0"/>
          <w:marRight w:val="0"/>
          <w:marTop w:val="0"/>
          <w:marBottom w:val="0"/>
          <w:divBdr>
            <w:top w:val="none" w:sz="0" w:space="0" w:color="auto"/>
            <w:left w:val="none" w:sz="0" w:space="0" w:color="auto"/>
            <w:bottom w:val="none" w:sz="0" w:space="0" w:color="auto"/>
            <w:right w:val="none" w:sz="0" w:space="0" w:color="auto"/>
          </w:divBdr>
          <w:divsChild>
            <w:div w:id="5599530">
              <w:marLeft w:val="0"/>
              <w:marRight w:val="0"/>
              <w:marTop w:val="0"/>
              <w:marBottom w:val="0"/>
              <w:divBdr>
                <w:top w:val="none" w:sz="0" w:space="0" w:color="auto"/>
                <w:left w:val="none" w:sz="0" w:space="0" w:color="auto"/>
                <w:bottom w:val="none" w:sz="0" w:space="0" w:color="auto"/>
                <w:right w:val="none" w:sz="0" w:space="0" w:color="auto"/>
              </w:divBdr>
            </w:div>
            <w:div w:id="2124421987">
              <w:marLeft w:val="0"/>
              <w:marRight w:val="0"/>
              <w:marTop w:val="0"/>
              <w:marBottom w:val="0"/>
              <w:divBdr>
                <w:top w:val="none" w:sz="0" w:space="0" w:color="auto"/>
                <w:left w:val="none" w:sz="0" w:space="0" w:color="auto"/>
                <w:bottom w:val="none" w:sz="0" w:space="0" w:color="auto"/>
                <w:right w:val="none" w:sz="0" w:space="0" w:color="auto"/>
              </w:divBdr>
            </w:div>
            <w:div w:id="878854373">
              <w:marLeft w:val="0"/>
              <w:marRight w:val="0"/>
              <w:marTop w:val="0"/>
              <w:marBottom w:val="0"/>
              <w:divBdr>
                <w:top w:val="none" w:sz="0" w:space="0" w:color="auto"/>
                <w:left w:val="none" w:sz="0" w:space="0" w:color="auto"/>
                <w:bottom w:val="none" w:sz="0" w:space="0" w:color="auto"/>
                <w:right w:val="none" w:sz="0" w:space="0" w:color="auto"/>
              </w:divBdr>
            </w:div>
            <w:div w:id="456678409">
              <w:marLeft w:val="0"/>
              <w:marRight w:val="0"/>
              <w:marTop w:val="0"/>
              <w:marBottom w:val="0"/>
              <w:divBdr>
                <w:top w:val="none" w:sz="0" w:space="0" w:color="auto"/>
                <w:left w:val="none" w:sz="0" w:space="0" w:color="auto"/>
                <w:bottom w:val="none" w:sz="0" w:space="0" w:color="auto"/>
                <w:right w:val="none" w:sz="0" w:space="0" w:color="auto"/>
              </w:divBdr>
            </w:div>
            <w:div w:id="1864853643">
              <w:marLeft w:val="0"/>
              <w:marRight w:val="0"/>
              <w:marTop w:val="0"/>
              <w:marBottom w:val="0"/>
              <w:divBdr>
                <w:top w:val="none" w:sz="0" w:space="0" w:color="auto"/>
                <w:left w:val="none" w:sz="0" w:space="0" w:color="auto"/>
                <w:bottom w:val="none" w:sz="0" w:space="0" w:color="auto"/>
                <w:right w:val="none" w:sz="0" w:space="0" w:color="auto"/>
              </w:divBdr>
            </w:div>
            <w:div w:id="1391611086">
              <w:marLeft w:val="0"/>
              <w:marRight w:val="0"/>
              <w:marTop w:val="0"/>
              <w:marBottom w:val="0"/>
              <w:divBdr>
                <w:top w:val="none" w:sz="0" w:space="0" w:color="auto"/>
                <w:left w:val="none" w:sz="0" w:space="0" w:color="auto"/>
                <w:bottom w:val="none" w:sz="0" w:space="0" w:color="auto"/>
                <w:right w:val="none" w:sz="0" w:space="0" w:color="auto"/>
              </w:divBdr>
            </w:div>
            <w:div w:id="283076498">
              <w:marLeft w:val="0"/>
              <w:marRight w:val="0"/>
              <w:marTop w:val="0"/>
              <w:marBottom w:val="0"/>
              <w:divBdr>
                <w:top w:val="none" w:sz="0" w:space="0" w:color="auto"/>
                <w:left w:val="none" w:sz="0" w:space="0" w:color="auto"/>
                <w:bottom w:val="none" w:sz="0" w:space="0" w:color="auto"/>
                <w:right w:val="none" w:sz="0" w:space="0" w:color="auto"/>
              </w:divBdr>
            </w:div>
            <w:div w:id="66733743">
              <w:marLeft w:val="0"/>
              <w:marRight w:val="0"/>
              <w:marTop w:val="0"/>
              <w:marBottom w:val="0"/>
              <w:divBdr>
                <w:top w:val="none" w:sz="0" w:space="0" w:color="auto"/>
                <w:left w:val="none" w:sz="0" w:space="0" w:color="auto"/>
                <w:bottom w:val="none" w:sz="0" w:space="0" w:color="auto"/>
                <w:right w:val="none" w:sz="0" w:space="0" w:color="auto"/>
              </w:divBdr>
            </w:div>
            <w:div w:id="1141072861">
              <w:marLeft w:val="0"/>
              <w:marRight w:val="0"/>
              <w:marTop w:val="0"/>
              <w:marBottom w:val="0"/>
              <w:divBdr>
                <w:top w:val="none" w:sz="0" w:space="0" w:color="auto"/>
                <w:left w:val="none" w:sz="0" w:space="0" w:color="auto"/>
                <w:bottom w:val="none" w:sz="0" w:space="0" w:color="auto"/>
                <w:right w:val="none" w:sz="0" w:space="0" w:color="auto"/>
              </w:divBdr>
            </w:div>
            <w:div w:id="1208178908">
              <w:marLeft w:val="0"/>
              <w:marRight w:val="0"/>
              <w:marTop w:val="0"/>
              <w:marBottom w:val="0"/>
              <w:divBdr>
                <w:top w:val="none" w:sz="0" w:space="0" w:color="auto"/>
                <w:left w:val="none" w:sz="0" w:space="0" w:color="auto"/>
                <w:bottom w:val="none" w:sz="0" w:space="0" w:color="auto"/>
                <w:right w:val="none" w:sz="0" w:space="0" w:color="auto"/>
              </w:divBdr>
            </w:div>
            <w:div w:id="51009040">
              <w:marLeft w:val="0"/>
              <w:marRight w:val="0"/>
              <w:marTop w:val="0"/>
              <w:marBottom w:val="0"/>
              <w:divBdr>
                <w:top w:val="none" w:sz="0" w:space="0" w:color="auto"/>
                <w:left w:val="none" w:sz="0" w:space="0" w:color="auto"/>
                <w:bottom w:val="none" w:sz="0" w:space="0" w:color="auto"/>
                <w:right w:val="none" w:sz="0" w:space="0" w:color="auto"/>
              </w:divBdr>
            </w:div>
            <w:div w:id="1197892907">
              <w:marLeft w:val="0"/>
              <w:marRight w:val="0"/>
              <w:marTop w:val="0"/>
              <w:marBottom w:val="0"/>
              <w:divBdr>
                <w:top w:val="none" w:sz="0" w:space="0" w:color="auto"/>
                <w:left w:val="none" w:sz="0" w:space="0" w:color="auto"/>
                <w:bottom w:val="none" w:sz="0" w:space="0" w:color="auto"/>
                <w:right w:val="none" w:sz="0" w:space="0" w:color="auto"/>
              </w:divBdr>
            </w:div>
            <w:div w:id="1337533698">
              <w:marLeft w:val="0"/>
              <w:marRight w:val="0"/>
              <w:marTop w:val="0"/>
              <w:marBottom w:val="0"/>
              <w:divBdr>
                <w:top w:val="none" w:sz="0" w:space="0" w:color="auto"/>
                <w:left w:val="none" w:sz="0" w:space="0" w:color="auto"/>
                <w:bottom w:val="none" w:sz="0" w:space="0" w:color="auto"/>
                <w:right w:val="none" w:sz="0" w:space="0" w:color="auto"/>
              </w:divBdr>
            </w:div>
            <w:div w:id="1376811576">
              <w:marLeft w:val="0"/>
              <w:marRight w:val="0"/>
              <w:marTop w:val="0"/>
              <w:marBottom w:val="0"/>
              <w:divBdr>
                <w:top w:val="none" w:sz="0" w:space="0" w:color="auto"/>
                <w:left w:val="none" w:sz="0" w:space="0" w:color="auto"/>
                <w:bottom w:val="none" w:sz="0" w:space="0" w:color="auto"/>
                <w:right w:val="none" w:sz="0" w:space="0" w:color="auto"/>
              </w:divBdr>
            </w:div>
            <w:div w:id="1747266507">
              <w:marLeft w:val="0"/>
              <w:marRight w:val="0"/>
              <w:marTop w:val="0"/>
              <w:marBottom w:val="0"/>
              <w:divBdr>
                <w:top w:val="none" w:sz="0" w:space="0" w:color="auto"/>
                <w:left w:val="none" w:sz="0" w:space="0" w:color="auto"/>
                <w:bottom w:val="none" w:sz="0" w:space="0" w:color="auto"/>
                <w:right w:val="none" w:sz="0" w:space="0" w:color="auto"/>
              </w:divBdr>
            </w:div>
            <w:div w:id="333724474">
              <w:marLeft w:val="0"/>
              <w:marRight w:val="0"/>
              <w:marTop w:val="0"/>
              <w:marBottom w:val="0"/>
              <w:divBdr>
                <w:top w:val="none" w:sz="0" w:space="0" w:color="auto"/>
                <w:left w:val="none" w:sz="0" w:space="0" w:color="auto"/>
                <w:bottom w:val="none" w:sz="0" w:space="0" w:color="auto"/>
                <w:right w:val="none" w:sz="0" w:space="0" w:color="auto"/>
              </w:divBdr>
            </w:div>
            <w:div w:id="705445508">
              <w:marLeft w:val="0"/>
              <w:marRight w:val="0"/>
              <w:marTop w:val="0"/>
              <w:marBottom w:val="0"/>
              <w:divBdr>
                <w:top w:val="none" w:sz="0" w:space="0" w:color="auto"/>
                <w:left w:val="none" w:sz="0" w:space="0" w:color="auto"/>
                <w:bottom w:val="none" w:sz="0" w:space="0" w:color="auto"/>
                <w:right w:val="none" w:sz="0" w:space="0" w:color="auto"/>
              </w:divBdr>
            </w:div>
            <w:div w:id="1995789266">
              <w:marLeft w:val="0"/>
              <w:marRight w:val="0"/>
              <w:marTop w:val="0"/>
              <w:marBottom w:val="0"/>
              <w:divBdr>
                <w:top w:val="none" w:sz="0" w:space="0" w:color="auto"/>
                <w:left w:val="none" w:sz="0" w:space="0" w:color="auto"/>
                <w:bottom w:val="none" w:sz="0" w:space="0" w:color="auto"/>
                <w:right w:val="none" w:sz="0" w:space="0" w:color="auto"/>
              </w:divBdr>
            </w:div>
            <w:div w:id="897323626">
              <w:marLeft w:val="0"/>
              <w:marRight w:val="0"/>
              <w:marTop w:val="0"/>
              <w:marBottom w:val="0"/>
              <w:divBdr>
                <w:top w:val="none" w:sz="0" w:space="0" w:color="auto"/>
                <w:left w:val="none" w:sz="0" w:space="0" w:color="auto"/>
                <w:bottom w:val="none" w:sz="0" w:space="0" w:color="auto"/>
                <w:right w:val="none" w:sz="0" w:space="0" w:color="auto"/>
              </w:divBdr>
            </w:div>
            <w:div w:id="1808428634">
              <w:marLeft w:val="0"/>
              <w:marRight w:val="0"/>
              <w:marTop w:val="0"/>
              <w:marBottom w:val="0"/>
              <w:divBdr>
                <w:top w:val="none" w:sz="0" w:space="0" w:color="auto"/>
                <w:left w:val="none" w:sz="0" w:space="0" w:color="auto"/>
                <w:bottom w:val="none" w:sz="0" w:space="0" w:color="auto"/>
                <w:right w:val="none" w:sz="0" w:space="0" w:color="auto"/>
              </w:divBdr>
            </w:div>
            <w:div w:id="296688090">
              <w:marLeft w:val="0"/>
              <w:marRight w:val="0"/>
              <w:marTop w:val="0"/>
              <w:marBottom w:val="0"/>
              <w:divBdr>
                <w:top w:val="none" w:sz="0" w:space="0" w:color="auto"/>
                <w:left w:val="none" w:sz="0" w:space="0" w:color="auto"/>
                <w:bottom w:val="none" w:sz="0" w:space="0" w:color="auto"/>
                <w:right w:val="none" w:sz="0" w:space="0" w:color="auto"/>
              </w:divBdr>
            </w:div>
            <w:div w:id="1350598371">
              <w:marLeft w:val="0"/>
              <w:marRight w:val="0"/>
              <w:marTop w:val="0"/>
              <w:marBottom w:val="0"/>
              <w:divBdr>
                <w:top w:val="none" w:sz="0" w:space="0" w:color="auto"/>
                <w:left w:val="none" w:sz="0" w:space="0" w:color="auto"/>
                <w:bottom w:val="none" w:sz="0" w:space="0" w:color="auto"/>
                <w:right w:val="none" w:sz="0" w:space="0" w:color="auto"/>
              </w:divBdr>
            </w:div>
            <w:div w:id="1877619237">
              <w:marLeft w:val="0"/>
              <w:marRight w:val="0"/>
              <w:marTop w:val="0"/>
              <w:marBottom w:val="0"/>
              <w:divBdr>
                <w:top w:val="none" w:sz="0" w:space="0" w:color="auto"/>
                <w:left w:val="none" w:sz="0" w:space="0" w:color="auto"/>
                <w:bottom w:val="none" w:sz="0" w:space="0" w:color="auto"/>
                <w:right w:val="none" w:sz="0" w:space="0" w:color="auto"/>
              </w:divBdr>
            </w:div>
            <w:div w:id="1086533842">
              <w:marLeft w:val="0"/>
              <w:marRight w:val="0"/>
              <w:marTop w:val="0"/>
              <w:marBottom w:val="0"/>
              <w:divBdr>
                <w:top w:val="none" w:sz="0" w:space="0" w:color="auto"/>
                <w:left w:val="none" w:sz="0" w:space="0" w:color="auto"/>
                <w:bottom w:val="none" w:sz="0" w:space="0" w:color="auto"/>
                <w:right w:val="none" w:sz="0" w:space="0" w:color="auto"/>
              </w:divBdr>
            </w:div>
            <w:div w:id="1813787123">
              <w:marLeft w:val="0"/>
              <w:marRight w:val="0"/>
              <w:marTop w:val="0"/>
              <w:marBottom w:val="0"/>
              <w:divBdr>
                <w:top w:val="none" w:sz="0" w:space="0" w:color="auto"/>
                <w:left w:val="none" w:sz="0" w:space="0" w:color="auto"/>
                <w:bottom w:val="none" w:sz="0" w:space="0" w:color="auto"/>
                <w:right w:val="none" w:sz="0" w:space="0" w:color="auto"/>
              </w:divBdr>
            </w:div>
            <w:div w:id="1075322173">
              <w:marLeft w:val="0"/>
              <w:marRight w:val="0"/>
              <w:marTop w:val="0"/>
              <w:marBottom w:val="0"/>
              <w:divBdr>
                <w:top w:val="none" w:sz="0" w:space="0" w:color="auto"/>
                <w:left w:val="none" w:sz="0" w:space="0" w:color="auto"/>
                <w:bottom w:val="none" w:sz="0" w:space="0" w:color="auto"/>
                <w:right w:val="none" w:sz="0" w:space="0" w:color="auto"/>
              </w:divBdr>
            </w:div>
            <w:div w:id="1014109060">
              <w:marLeft w:val="0"/>
              <w:marRight w:val="0"/>
              <w:marTop w:val="0"/>
              <w:marBottom w:val="0"/>
              <w:divBdr>
                <w:top w:val="none" w:sz="0" w:space="0" w:color="auto"/>
                <w:left w:val="none" w:sz="0" w:space="0" w:color="auto"/>
                <w:bottom w:val="none" w:sz="0" w:space="0" w:color="auto"/>
                <w:right w:val="none" w:sz="0" w:space="0" w:color="auto"/>
              </w:divBdr>
            </w:div>
            <w:div w:id="1256785985">
              <w:marLeft w:val="0"/>
              <w:marRight w:val="0"/>
              <w:marTop w:val="0"/>
              <w:marBottom w:val="0"/>
              <w:divBdr>
                <w:top w:val="none" w:sz="0" w:space="0" w:color="auto"/>
                <w:left w:val="none" w:sz="0" w:space="0" w:color="auto"/>
                <w:bottom w:val="none" w:sz="0" w:space="0" w:color="auto"/>
                <w:right w:val="none" w:sz="0" w:space="0" w:color="auto"/>
              </w:divBdr>
            </w:div>
            <w:div w:id="581066525">
              <w:marLeft w:val="0"/>
              <w:marRight w:val="0"/>
              <w:marTop w:val="0"/>
              <w:marBottom w:val="0"/>
              <w:divBdr>
                <w:top w:val="none" w:sz="0" w:space="0" w:color="auto"/>
                <w:left w:val="none" w:sz="0" w:space="0" w:color="auto"/>
                <w:bottom w:val="none" w:sz="0" w:space="0" w:color="auto"/>
                <w:right w:val="none" w:sz="0" w:space="0" w:color="auto"/>
              </w:divBdr>
            </w:div>
            <w:div w:id="312225823">
              <w:marLeft w:val="0"/>
              <w:marRight w:val="0"/>
              <w:marTop w:val="0"/>
              <w:marBottom w:val="0"/>
              <w:divBdr>
                <w:top w:val="none" w:sz="0" w:space="0" w:color="auto"/>
                <w:left w:val="none" w:sz="0" w:space="0" w:color="auto"/>
                <w:bottom w:val="none" w:sz="0" w:space="0" w:color="auto"/>
                <w:right w:val="none" w:sz="0" w:space="0" w:color="auto"/>
              </w:divBdr>
            </w:div>
            <w:div w:id="434054747">
              <w:marLeft w:val="0"/>
              <w:marRight w:val="0"/>
              <w:marTop w:val="0"/>
              <w:marBottom w:val="0"/>
              <w:divBdr>
                <w:top w:val="none" w:sz="0" w:space="0" w:color="auto"/>
                <w:left w:val="none" w:sz="0" w:space="0" w:color="auto"/>
                <w:bottom w:val="none" w:sz="0" w:space="0" w:color="auto"/>
                <w:right w:val="none" w:sz="0" w:space="0" w:color="auto"/>
              </w:divBdr>
            </w:div>
            <w:div w:id="8725136">
              <w:marLeft w:val="0"/>
              <w:marRight w:val="0"/>
              <w:marTop w:val="0"/>
              <w:marBottom w:val="0"/>
              <w:divBdr>
                <w:top w:val="none" w:sz="0" w:space="0" w:color="auto"/>
                <w:left w:val="none" w:sz="0" w:space="0" w:color="auto"/>
                <w:bottom w:val="none" w:sz="0" w:space="0" w:color="auto"/>
                <w:right w:val="none" w:sz="0" w:space="0" w:color="auto"/>
              </w:divBdr>
            </w:div>
            <w:div w:id="161825402">
              <w:marLeft w:val="0"/>
              <w:marRight w:val="0"/>
              <w:marTop w:val="0"/>
              <w:marBottom w:val="0"/>
              <w:divBdr>
                <w:top w:val="none" w:sz="0" w:space="0" w:color="auto"/>
                <w:left w:val="none" w:sz="0" w:space="0" w:color="auto"/>
                <w:bottom w:val="none" w:sz="0" w:space="0" w:color="auto"/>
                <w:right w:val="none" w:sz="0" w:space="0" w:color="auto"/>
              </w:divBdr>
            </w:div>
            <w:div w:id="14472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5416">
      <w:bodyDiv w:val="1"/>
      <w:marLeft w:val="0"/>
      <w:marRight w:val="0"/>
      <w:marTop w:val="0"/>
      <w:marBottom w:val="0"/>
      <w:divBdr>
        <w:top w:val="none" w:sz="0" w:space="0" w:color="auto"/>
        <w:left w:val="none" w:sz="0" w:space="0" w:color="auto"/>
        <w:bottom w:val="none" w:sz="0" w:space="0" w:color="auto"/>
        <w:right w:val="none" w:sz="0" w:space="0" w:color="auto"/>
      </w:divBdr>
    </w:div>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326590003">
      <w:bodyDiv w:val="1"/>
      <w:marLeft w:val="0"/>
      <w:marRight w:val="0"/>
      <w:marTop w:val="0"/>
      <w:marBottom w:val="0"/>
      <w:divBdr>
        <w:top w:val="none" w:sz="0" w:space="0" w:color="auto"/>
        <w:left w:val="none" w:sz="0" w:space="0" w:color="auto"/>
        <w:bottom w:val="none" w:sz="0" w:space="0" w:color="auto"/>
        <w:right w:val="none" w:sz="0" w:space="0" w:color="auto"/>
      </w:divBdr>
    </w:div>
    <w:div w:id="409425050">
      <w:bodyDiv w:val="1"/>
      <w:marLeft w:val="0"/>
      <w:marRight w:val="0"/>
      <w:marTop w:val="0"/>
      <w:marBottom w:val="0"/>
      <w:divBdr>
        <w:top w:val="none" w:sz="0" w:space="0" w:color="auto"/>
        <w:left w:val="none" w:sz="0" w:space="0" w:color="auto"/>
        <w:bottom w:val="none" w:sz="0" w:space="0" w:color="auto"/>
        <w:right w:val="none" w:sz="0" w:space="0" w:color="auto"/>
      </w:divBdr>
      <w:divsChild>
        <w:div w:id="625158924">
          <w:marLeft w:val="0"/>
          <w:marRight w:val="0"/>
          <w:marTop w:val="0"/>
          <w:marBottom w:val="0"/>
          <w:divBdr>
            <w:top w:val="none" w:sz="0" w:space="0" w:color="auto"/>
            <w:left w:val="none" w:sz="0" w:space="0" w:color="auto"/>
            <w:bottom w:val="none" w:sz="0" w:space="0" w:color="auto"/>
            <w:right w:val="none" w:sz="0" w:space="0" w:color="auto"/>
          </w:divBdr>
        </w:div>
        <w:div w:id="232590781">
          <w:marLeft w:val="0"/>
          <w:marRight w:val="0"/>
          <w:marTop w:val="0"/>
          <w:marBottom w:val="0"/>
          <w:divBdr>
            <w:top w:val="none" w:sz="0" w:space="0" w:color="auto"/>
            <w:left w:val="none" w:sz="0" w:space="0" w:color="auto"/>
            <w:bottom w:val="none" w:sz="0" w:space="0" w:color="auto"/>
            <w:right w:val="none" w:sz="0" w:space="0" w:color="auto"/>
          </w:divBdr>
        </w:div>
        <w:div w:id="202862901">
          <w:marLeft w:val="0"/>
          <w:marRight w:val="0"/>
          <w:marTop w:val="0"/>
          <w:marBottom w:val="0"/>
          <w:divBdr>
            <w:top w:val="none" w:sz="0" w:space="0" w:color="auto"/>
            <w:left w:val="none" w:sz="0" w:space="0" w:color="auto"/>
            <w:bottom w:val="none" w:sz="0" w:space="0" w:color="auto"/>
            <w:right w:val="none" w:sz="0" w:space="0" w:color="auto"/>
          </w:divBdr>
        </w:div>
        <w:div w:id="936065175">
          <w:marLeft w:val="0"/>
          <w:marRight w:val="0"/>
          <w:marTop w:val="0"/>
          <w:marBottom w:val="0"/>
          <w:divBdr>
            <w:top w:val="none" w:sz="0" w:space="0" w:color="auto"/>
            <w:left w:val="none" w:sz="0" w:space="0" w:color="auto"/>
            <w:bottom w:val="none" w:sz="0" w:space="0" w:color="auto"/>
            <w:right w:val="none" w:sz="0" w:space="0" w:color="auto"/>
          </w:divBdr>
        </w:div>
        <w:div w:id="578370136">
          <w:marLeft w:val="0"/>
          <w:marRight w:val="0"/>
          <w:marTop w:val="0"/>
          <w:marBottom w:val="0"/>
          <w:divBdr>
            <w:top w:val="none" w:sz="0" w:space="0" w:color="auto"/>
            <w:left w:val="none" w:sz="0" w:space="0" w:color="auto"/>
            <w:bottom w:val="none" w:sz="0" w:space="0" w:color="auto"/>
            <w:right w:val="none" w:sz="0" w:space="0" w:color="auto"/>
          </w:divBdr>
        </w:div>
        <w:div w:id="1503593362">
          <w:marLeft w:val="0"/>
          <w:marRight w:val="0"/>
          <w:marTop w:val="0"/>
          <w:marBottom w:val="0"/>
          <w:divBdr>
            <w:top w:val="none" w:sz="0" w:space="0" w:color="auto"/>
            <w:left w:val="none" w:sz="0" w:space="0" w:color="auto"/>
            <w:bottom w:val="none" w:sz="0" w:space="0" w:color="auto"/>
            <w:right w:val="none" w:sz="0" w:space="0" w:color="auto"/>
          </w:divBdr>
        </w:div>
        <w:div w:id="1975596958">
          <w:marLeft w:val="0"/>
          <w:marRight w:val="0"/>
          <w:marTop w:val="0"/>
          <w:marBottom w:val="0"/>
          <w:divBdr>
            <w:top w:val="none" w:sz="0" w:space="0" w:color="auto"/>
            <w:left w:val="none" w:sz="0" w:space="0" w:color="auto"/>
            <w:bottom w:val="none" w:sz="0" w:space="0" w:color="auto"/>
            <w:right w:val="none" w:sz="0" w:space="0" w:color="auto"/>
          </w:divBdr>
        </w:div>
        <w:div w:id="1342470773">
          <w:marLeft w:val="0"/>
          <w:marRight w:val="0"/>
          <w:marTop w:val="0"/>
          <w:marBottom w:val="0"/>
          <w:divBdr>
            <w:top w:val="none" w:sz="0" w:space="0" w:color="auto"/>
            <w:left w:val="none" w:sz="0" w:space="0" w:color="auto"/>
            <w:bottom w:val="none" w:sz="0" w:space="0" w:color="auto"/>
            <w:right w:val="none" w:sz="0" w:space="0" w:color="auto"/>
          </w:divBdr>
        </w:div>
      </w:divsChild>
    </w:div>
    <w:div w:id="503931763">
      <w:bodyDiv w:val="1"/>
      <w:marLeft w:val="0"/>
      <w:marRight w:val="0"/>
      <w:marTop w:val="0"/>
      <w:marBottom w:val="0"/>
      <w:divBdr>
        <w:top w:val="none" w:sz="0" w:space="0" w:color="auto"/>
        <w:left w:val="none" w:sz="0" w:space="0" w:color="auto"/>
        <w:bottom w:val="none" w:sz="0" w:space="0" w:color="auto"/>
        <w:right w:val="none" w:sz="0" w:space="0" w:color="auto"/>
      </w:divBdr>
      <w:divsChild>
        <w:div w:id="1968966801">
          <w:marLeft w:val="0"/>
          <w:marRight w:val="0"/>
          <w:marTop w:val="0"/>
          <w:marBottom w:val="0"/>
          <w:divBdr>
            <w:top w:val="none" w:sz="0" w:space="0" w:color="auto"/>
            <w:left w:val="none" w:sz="0" w:space="0" w:color="auto"/>
            <w:bottom w:val="none" w:sz="0" w:space="0" w:color="auto"/>
            <w:right w:val="none" w:sz="0" w:space="0" w:color="auto"/>
          </w:divBdr>
          <w:divsChild>
            <w:div w:id="1810592736">
              <w:marLeft w:val="0"/>
              <w:marRight w:val="0"/>
              <w:marTop w:val="0"/>
              <w:marBottom w:val="0"/>
              <w:divBdr>
                <w:top w:val="none" w:sz="0" w:space="0" w:color="auto"/>
                <w:left w:val="none" w:sz="0" w:space="0" w:color="auto"/>
                <w:bottom w:val="none" w:sz="0" w:space="0" w:color="auto"/>
                <w:right w:val="none" w:sz="0" w:space="0" w:color="auto"/>
              </w:divBdr>
              <w:divsChild>
                <w:div w:id="1760566083">
                  <w:marLeft w:val="0"/>
                  <w:marRight w:val="0"/>
                  <w:marTop w:val="0"/>
                  <w:marBottom w:val="0"/>
                  <w:divBdr>
                    <w:top w:val="none" w:sz="0" w:space="0" w:color="auto"/>
                    <w:left w:val="none" w:sz="0" w:space="0" w:color="auto"/>
                    <w:bottom w:val="none" w:sz="0" w:space="0" w:color="auto"/>
                    <w:right w:val="none" w:sz="0" w:space="0" w:color="auto"/>
                  </w:divBdr>
                  <w:divsChild>
                    <w:div w:id="740181463">
                      <w:marLeft w:val="0"/>
                      <w:marRight w:val="0"/>
                      <w:marTop w:val="0"/>
                      <w:marBottom w:val="0"/>
                      <w:divBdr>
                        <w:top w:val="none" w:sz="0" w:space="0" w:color="auto"/>
                        <w:left w:val="none" w:sz="0" w:space="0" w:color="auto"/>
                        <w:bottom w:val="none" w:sz="0" w:space="0" w:color="auto"/>
                        <w:right w:val="none" w:sz="0" w:space="0" w:color="auto"/>
                      </w:divBdr>
                      <w:divsChild>
                        <w:div w:id="950164488">
                          <w:marLeft w:val="0"/>
                          <w:marRight w:val="0"/>
                          <w:marTop w:val="0"/>
                          <w:marBottom w:val="0"/>
                          <w:divBdr>
                            <w:top w:val="none" w:sz="0" w:space="0" w:color="auto"/>
                            <w:left w:val="none" w:sz="0" w:space="0" w:color="auto"/>
                            <w:bottom w:val="none" w:sz="0" w:space="0" w:color="auto"/>
                            <w:right w:val="none" w:sz="0" w:space="0" w:color="auto"/>
                          </w:divBdr>
                          <w:divsChild>
                            <w:div w:id="1028333004">
                              <w:marLeft w:val="0"/>
                              <w:marRight w:val="0"/>
                              <w:marTop w:val="0"/>
                              <w:marBottom w:val="150"/>
                              <w:divBdr>
                                <w:top w:val="none" w:sz="0" w:space="0" w:color="auto"/>
                                <w:left w:val="none" w:sz="0" w:space="0" w:color="auto"/>
                                <w:bottom w:val="none" w:sz="0" w:space="0" w:color="auto"/>
                                <w:right w:val="none" w:sz="0" w:space="0" w:color="auto"/>
                              </w:divBdr>
                              <w:divsChild>
                                <w:div w:id="1263417283">
                                  <w:marLeft w:val="0"/>
                                  <w:marRight w:val="0"/>
                                  <w:marTop w:val="0"/>
                                  <w:marBottom w:val="0"/>
                                  <w:divBdr>
                                    <w:top w:val="none" w:sz="0" w:space="0" w:color="auto"/>
                                    <w:left w:val="none" w:sz="0" w:space="0" w:color="auto"/>
                                    <w:bottom w:val="none" w:sz="0" w:space="0" w:color="auto"/>
                                    <w:right w:val="none" w:sz="0" w:space="0" w:color="auto"/>
                                  </w:divBdr>
                                  <w:divsChild>
                                    <w:div w:id="881748968">
                                      <w:marLeft w:val="0"/>
                                      <w:marRight w:val="0"/>
                                      <w:marTop w:val="0"/>
                                      <w:marBottom w:val="0"/>
                                      <w:divBdr>
                                        <w:top w:val="none" w:sz="0" w:space="0" w:color="auto"/>
                                        <w:left w:val="none" w:sz="0" w:space="0" w:color="auto"/>
                                        <w:bottom w:val="none" w:sz="0" w:space="0" w:color="auto"/>
                                        <w:right w:val="none" w:sz="0" w:space="0" w:color="auto"/>
                                      </w:divBdr>
                                      <w:divsChild>
                                        <w:div w:id="7144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92374">
                          <w:marLeft w:val="0"/>
                          <w:marRight w:val="0"/>
                          <w:marTop w:val="0"/>
                          <w:marBottom w:val="0"/>
                          <w:divBdr>
                            <w:top w:val="none" w:sz="0" w:space="0" w:color="auto"/>
                            <w:left w:val="none" w:sz="0" w:space="0" w:color="auto"/>
                            <w:bottom w:val="none" w:sz="0" w:space="0" w:color="auto"/>
                            <w:right w:val="none" w:sz="0" w:space="0" w:color="auto"/>
                          </w:divBdr>
                        </w:div>
                        <w:div w:id="1367027726">
                          <w:marLeft w:val="0"/>
                          <w:marRight w:val="0"/>
                          <w:marTop w:val="0"/>
                          <w:marBottom w:val="0"/>
                          <w:divBdr>
                            <w:top w:val="none" w:sz="0" w:space="0" w:color="auto"/>
                            <w:left w:val="none" w:sz="0" w:space="0" w:color="auto"/>
                            <w:bottom w:val="none" w:sz="0" w:space="0" w:color="auto"/>
                            <w:right w:val="none" w:sz="0" w:space="0" w:color="auto"/>
                          </w:divBdr>
                          <w:divsChild>
                            <w:div w:id="641083536">
                              <w:marLeft w:val="0"/>
                              <w:marRight w:val="0"/>
                              <w:marTop w:val="0"/>
                              <w:marBottom w:val="0"/>
                              <w:divBdr>
                                <w:top w:val="none" w:sz="0" w:space="0" w:color="auto"/>
                                <w:left w:val="none" w:sz="0" w:space="0" w:color="auto"/>
                                <w:bottom w:val="none" w:sz="0" w:space="0" w:color="auto"/>
                                <w:right w:val="none" w:sz="0" w:space="0" w:color="auto"/>
                              </w:divBdr>
                            </w:div>
                            <w:div w:id="769473427">
                              <w:marLeft w:val="0"/>
                              <w:marRight w:val="0"/>
                              <w:marTop w:val="0"/>
                              <w:marBottom w:val="0"/>
                              <w:divBdr>
                                <w:top w:val="none" w:sz="0" w:space="0" w:color="auto"/>
                                <w:left w:val="none" w:sz="0" w:space="0" w:color="auto"/>
                                <w:bottom w:val="none" w:sz="0" w:space="0" w:color="auto"/>
                                <w:right w:val="none" w:sz="0" w:space="0" w:color="auto"/>
                              </w:divBdr>
                            </w:div>
                            <w:div w:id="1375079250">
                              <w:marLeft w:val="0"/>
                              <w:marRight w:val="0"/>
                              <w:marTop w:val="0"/>
                              <w:marBottom w:val="0"/>
                              <w:divBdr>
                                <w:top w:val="none" w:sz="0" w:space="0" w:color="auto"/>
                                <w:left w:val="none" w:sz="0" w:space="0" w:color="auto"/>
                                <w:bottom w:val="none" w:sz="0" w:space="0" w:color="auto"/>
                                <w:right w:val="none" w:sz="0" w:space="0" w:color="auto"/>
                              </w:divBdr>
                            </w:div>
                            <w:div w:id="1101293119">
                              <w:marLeft w:val="0"/>
                              <w:marRight w:val="0"/>
                              <w:marTop w:val="0"/>
                              <w:marBottom w:val="0"/>
                              <w:divBdr>
                                <w:top w:val="none" w:sz="0" w:space="0" w:color="auto"/>
                                <w:left w:val="none" w:sz="0" w:space="0" w:color="auto"/>
                                <w:bottom w:val="none" w:sz="0" w:space="0" w:color="auto"/>
                                <w:right w:val="none" w:sz="0" w:space="0" w:color="auto"/>
                              </w:divBdr>
                            </w:div>
                            <w:div w:id="1848867481">
                              <w:marLeft w:val="0"/>
                              <w:marRight w:val="0"/>
                              <w:marTop w:val="0"/>
                              <w:marBottom w:val="0"/>
                              <w:divBdr>
                                <w:top w:val="none" w:sz="0" w:space="0" w:color="auto"/>
                                <w:left w:val="none" w:sz="0" w:space="0" w:color="auto"/>
                                <w:bottom w:val="none" w:sz="0" w:space="0" w:color="auto"/>
                                <w:right w:val="none" w:sz="0" w:space="0" w:color="auto"/>
                              </w:divBdr>
                            </w:div>
                            <w:div w:id="1499807774">
                              <w:marLeft w:val="0"/>
                              <w:marRight w:val="0"/>
                              <w:marTop w:val="0"/>
                              <w:marBottom w:val="0"/>
                              <w:divBdr>
                                <w:top w:val="none" w:sz="0" w:space="0" w:color="auto"/>
                                <w:left w:val="none" w:sz="0" w:space="0" w:color="auto"/>
                                <w:bottom w:val="none" w:sz="0" w:space="0" w:color="auto"/>
                                <w:right w:val="none" w:sz="0" w:space="0" w:color="auto"/>
                              </w:divBdr>
                            </w:div>
                            <w:div w:id="8415806">
                              <w:marLeft w:val="0"/>
                              <w:marRight w:val="0"/>
                              <w:marTop w:val="0"/>
                              <w:marBottom w:val="0"/>
                              <w:divBdr>
                                <w:top w:val="none" w:sz="0" w:space="0" w:color="auto"/>
                                <w:left w:val="none" w:sz="0" w:space="0" w:color="auto"/>
                                <w:bottom w:val="none" w:sz="0" w:space="0" w:color="auto"/>
                                <w:right w:val="none" w:sz="0" w:space="0" w:color="auto"/>
                              </w:divBdr>
                            </w:div>
                            <w:div w:id="45762867">
                              <w:marLeft w:val="0"/>
                              <w:marRight w:val="0"/>
                              <w:marTop w:val="0"/>
                              <w:marBottom w:val="0"/>
                              <w:divBdr>
                                <w:top w:val="none" w:sz="0" w:space="0" w:color="auto"/>
                                <w:left w:val="none" w:sz="0" w:space="0" w:color="auto"/>
                                <w:bottom w:val="none" w:sz="0" w:space="0" w:color="auto"/>
                                <w:right w:val="none" w:sz="0" w:space="0" w:color="auto"/>
                              </w:divBdr>
                            </w:div>
                            <w:div w:id="1053651211">
                              <w:marLeft w:val="0"/>
                              <w:marRight w:val="0"/>
                              <w:marTop w:val="0"/>
                              <w:marBottom w:val="0"/>
                              <w:divBdr>
                                <w:top w:val="none" w:sz="0" w:space="0" w:color="auto"/>
                                <w:left w:val="none" w:sz="0" w:space="0" w:color="auto"/>
                                <w:bottom w:val="none" w:sz="0" w:space="0" w:color="auto"/>
                                <w:right w:val="none" w:sz="0" w:space="0" w:color="auto"/>
                              </w:divBdr>
                            </w:div>
                            <w:div w:id="15093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567854">
                  <w:marLeft w:val="0"/>
                  <w:marRight w:val="0"/>
                  <w:marTop w:val="0"/>
                  <w:marBottom w:val="0"/>
                  <w:divBdr>
                    <w:top w:val="none" w:sz="0" w:space="0" w:color="auto"/>
                    <w:left w:val="none" w:sz="0" w:space="0" w:color="auto"/>
                    <w:bottom w:val="none" w:sz="0" w:space="0" w:color="auto"/>
                    <w:right w:val="none" w:sz="0" w:space="0" w:color="auto"/>
                  </w:divBdr>
                  <w:divsChild>
                    <w:div w:id="1755854181">
                      <w:marLeft w:val="0"/>
                      <w:marRight w:val="0"/>
                      <w:marTop w:val="0"/>
                      <w:marBottom w:val="300"/>
                      <w:divBdr>
                        <w:top w:val="none" w:sz="0" w:space="0" w:color="auto"/>
                        <w:left w:val="none" w:sz="0" w:space="0" w:color="auto"/>
                        <w:bottom w:val="none" w:sz="0" w:space="0" w:color="auto"/>
                        <w:right w:val="none" w:sz="0" w:space="0" w:color="auto"/>
                      </w:divBdr>
                    </w:div>
                    <w:div w:id="714351186">
                      <w:marLeft w:val="0"/>
                      <w:marRight w:val="0"/>
                      <w:marTop w:val="0"/>
                      <w:marBottom w:val="300"/>
                      <w:divBdr>
                        <w:top w:val="none" w:sz="0" w:space="0" w:color="auto"/>
                        <w:left w:val="none" w:sz="0" w:space="0" w:color="auto"/>
                        <w:bottom w:val="none" w:sz="0" w:space="0" w:color="auto"/>
                        <w:right w:val="none" w:sz="0" w:space="0" w:color="auto"/>
                      </w:divBdr>
                    </w:div>
                    <w:div w:id="1179387912">
                      <w:marLeft w:val="0"/>
                      <w:marRight w:val="0"/>
                      <w:marTop w:val="0"/>
                      <w:marBottom w:val="300"/>
                      <w:divBdr>
                        <w:top w:val="none" w:sz="0" w:space="0" w:color="auto"/>
                        <w:left w:val="none" w:sz="0" w:space="0" w:color="auto"/>
                        <w:bottom w:val="none" w:sz="0" w:space="0" w:color="auto"/>
                        <w:right w:val="none" w:sz="0" w:space="0" w:color="auto"/>
                      </w:divBdr>
                    </w:div>
                    <w:div w:id="7966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78761">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750085610">
      <w:bodyDiv w:val="1"/>
      <w:marLeft w:val="0"/>
      <w:marRight w:val="0"/>
      <w:marTop w:val="0"/>
      <w:marBottom w:val="0"/>
      <w:divBdr>
        <w:top w:val="none" w:sz="0" w:space="0" w:color="auto"/>
        <w:left w:val="none" w:sz="0" w:space="0" w:color="auto"/>
        <w:bottom w:val="none" w:sz="0" w:space="0" w:color="auto"/>
        <w:right w:val="none" w:sz="0" w:space="0" w:color="auto"/>
      </w:divBdr>
    </w:div>
    <w:div w:id="800224281">
      <w:bodyDiv w:val="1"/>
      <w:marLeft w:val="0"/>
      <w:marRight w:val="0"/>
      <w:marTop w:val="0"/>
      <w:marBottom w:val="0"/>
      <w:divBdr>
        <w:top w:val="none" w:sz="0" w:space="0" w:color="auto"/>
        <w:left w:val="none" w:sz="0" w:space="0" w:color="auto"/>
        <w:bottom w:val="none" w:sz="0" w:space="0" w:color="auto"/>
        <w:right w:val="none" w:sz="0" w:space="0" w:color="auto"/>
      </w:divBdr>
    </w:div>
    <w:div w:id="831021163">
      <w:bodyDiv w:val="1"/>
      <w:marLeft w:val="0"/>
      <w:marRight w:val="0"/>
      <w:marTop w:val="0"/>
      <w:marBottom w:val="0"/>
      <w:divBdr>
        <w:top w:val="none" w:sz="0" w:space="0" w:color="auto"/>
        <w:left w:val="none" w:sz="0" w:space="0" w:color="auto"/>
        <w:bottom w:val="none" w:sz="0" w:space="0" w:color="auto"/>
        <w:right w:val="none" w:sz="0" w:space="0" w:color="auto"/>
      </w:divBdr>
    </w:div>
    <w:div w:id="1237976355">
      <w:bodyDiv w:val="1"/>
      <w:marLeft w:val="0"/>
      <w:marRight w:val="0"/>
      <w:marTop w:val="0"/>
      <w:marBottom w:val="0"/>
      <w:divBdr>
        <w:top w:val="none" w:sz="0" w:space="0" w:color="auto"/>
        <w:left w:val="none" w:sz="0" w:space="0" w:color="auto"/>
        <w:bottom w:val="none" w:sz="0" w:space="0" w:color="auto"/>
        <w:right w:val="none" w:sz="0" w:space="0" w:color="auto"/>
      </w:divBdr>
    </w:div>
    <w:div w:id="1241673633">
      <w:bodyDiv w:val="1"/>
      <w:marLeft w:val="0"/>
      <w:marRight w:val="0"/>
      <w:marTop w:val="0"/>
      <w:marBottom w:val="0"/>
      <w:divBdr>
        <w:top w:val="none" w:sz="0" w:space="0" w:color="auto"/>
        <w:left w:val="none" w:sz="0" w:space="0" w:color="auto"/>
        <w:bottom w:val="none" w:sz="0" w:space="0" w:color="auto"/>
        <w:right w:val="none" w:sz="0" w:space="0" w:color="auto"/>
      </w:divBdr>
      <w:divsChild>
        <w:div w:id="831144785">
          <w:marLeft w:val="225"/>
          <w:marRight w:val="0"/>
          <w:marTop w:val="0"/>
          <w:marBottom w:val="0"/>
          <w:divBdr>
            <w:top w:val="none" w:sz="0" w:space="0" w:color="auto"/>
            <w:left w:val="none" w:sz="0" w:space="0" w:color="auto"/>
            <w:bottom w:val="none" w:sz="0" w:space="0" w:color="auto"/>
            <w:right w:val="none" w:sz="0" w:space="0" w:color="auto"/>
          </w:divBdr>
          <w:divsChild>
            <w:div w:id="755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5388">
      <w:bodyDiv w:val="1"/>
      <w:marLeft w:val="0"/>
      <w:marRight w:val="0"/>
      <w:marTop w:val="0"/>
      <w:marBottom w:val="0"/>
      <w:divBdr>
        <w:top w:val="none" w:sz="0" w:space="0" w:color="auto"/>
        <w:left w:val="none" w:sz="0" w:space="0" w:color="auto"/>
        <w:bottom w:val="none" w:sz="0" w:space="0" w:color="auto"/>
        <w:right w:val="none" w:sz="0" w:space="0" w:color="auto"/>
      </w:divBdr>
      <w:divsChild>
        <w:div w:id="2080594592">
          <w:marLeft w:val="0"/>
          <w:marRight w:val="0"/>
          <w:marTop w:val="0"/>
          <w:marBottom w:val="0"/>
          <w:divBdr>
            <w:top w:val="none" w:sz="0" w:space="0" w:color="auto"/>
            <w:left w:val="none" w:sz="0" w:space="0" w:color="auto"/>
            <w:bottom w:val="none" w:sz="0" w:space="0" w:color="auto"/>
            <w:right w:val="none" w:sz="0" w:space="0" w:color="auto"/>
          </w:divBdr>
        </w:div>
        <w:div w:id="1112166761">
          <w:marLeft w:val="0"/>
          <w:marRight w:val="0"/>
          <w:marTop w:val="0"/>
          <w:marBottom w:val="0"/>
          <w:divBdr>
            <w:top w:val="none" w:sz="0" w:space="0" w:color="auto"/>
            <w:left w:val="none" w:sz="0" w:space="0" w:color="auto"/>
            <w:bottom w:val="none" w:sz="0" w:space="0" w:color="auto"/>
            <w:right w:val="none" w:sz="0" w:space="0" w:color="auto"/>
          </w:divBdr>
        </w:div>
        <w:div w:id="1238631218">
          <w:marLeft w:val="0"/>
          <w:marRight w:val="0"/>
          <w:marTop w:val="0"/>
          <w:marBottom w:val="0"/>
          <w:divBdr>
            <w:top w:val="none" w:sz="0" w:space="0" w:color="auto"/>
            <w:left w:val="none" w:sz="0" w:space="0" w:color="auto"/>
            <w:bottom w:val="none" w:sz="0" w:space="0" w:color="auto"/>
            <w:right w:val="none" w:sz="0" w:space="0" w:color="auto"/>
          </w:divBdr>
        </w:div>
        <w:div w:id="243925440">
          <w:marLeft w:val="0"/>
          <w:marRight w:val="0"/>
          <w:marTop w:val="0"/>
          <w:marBottom w:val="0"/>
          <w:divBdr>
            <w:top w:val="none" w:sz="0" w:space="0" w:color="auto"/>
            <w:left w:val="none" w:sz="0" w:space="0" w:color="auto"/>
            <w:bottom w:val="none" w:sz="0" w:space="0" w:color="auto"/>
            <w:right w:val="none" w:sz="0" w:space="0" w:color="auto"/>
          </w:divBdr>
        </w:div>
        <w:div w:id="627125267">
          <w:marLeft w:val="0"/>
          <w:marRight w:val="0"/>
          <w:marTop w:val="0"/>
          <w:marBottom w:val="0"/>
          <w:divBdr>
            <w:top w:val="none" w:sz="0" w:space="0" w:color="auto"/>
            <w:left w:val="none" w:sz="0" w:space="0" w:color="auto"/>
            <w:bottom w:val="none" w:sz="0" w:space="0" w:color="auto"/>
            <w:right w:val="none" w:sz="0" w:space="0" w:color="auto"/>
          </w:divBdr>
        </w:div>
        <w:div w:id="1482769382">
          <w:marLeft w:val="0"/>
          <w:marRight w:val="0"/>
          <w:marTop w:val="0"/>
          <w:marBottom w:val="0"/>
          <w:divBdr>
            <w:top w:val="none" w:sz="0" w:space="0" w:color="auto"/>
            <w:left w:val="none" w:sz="0" w:space="0" w:color="auto"/>
            <w:bottom w:val="none" w:sz="0" w:space="0" w:color="auto"/>
            <w:right w:val="none" w:sz="0" w:space="0" w:color="auto"/>
          </w:divBdr>
        </w:div>
        <w:div w:id="2069373980">
          <w:marLeft w:val="0"/>
          <w:marRight w:val="0"/>
          <w:marTop w:val="0"/>
          <w:marBottom w:val="0"/>
          <w:divBdr>
            <w:top w:val="none" w:sz="0" w:space="0" w:color="auto"/>
            <w:left w:val="none" w:sz="0" w:space="0" w:color="auto"/>
            <w:bottom w:val="none" w:sz="0" w:space="0" w:color="auto"/>
            <w:right w:val="none" w:sz="0" w:space="0" w:color="auto"/>
          </w:divBdr>
        </w:div>
        <w:div w:id="1614634950">
          <w:marLeft w:val="0"/>
          <w:marRight w:val="0"/>
          <w:marTop w:val="0"/>
          <w:marBottom w:val="0"/>
          <w:divBdr>
            <w:top w:val="none" w:sz="0" w:space="0" w:color="auto"/>
            <w:left w:val="none" w:sz="0" w:space="0" w:color="auto"/>
            <w:bottom w:val="none" w:sz="0" w:space="0" w:color="auto"/>
            <w:right w:val="none" w:sz="0" w:space="0" w:color="auto"/>
          </w:divBdr>
        </w:div>
      </w:divsChild>
    </w:div>
    <w:div w:id="1355157307">
      <w:bodyDiv w:val="1"/>
      <w:marLeft w:val="0"/>
      <w:marRight w:val="0"/>
      <w:marTop w:val="0"/>
      <w:marBottom w:val="0"/>
      <w:divBdr>
        <w:top w:val="none" w:sz="0" w:space="0" w:color="auto"/>
        <w:left w:val="none" w:sz="0" w:space="0" w:color="auto"/>
        <w:bottom w:val="none" w:sz="0" w:space="0" w:color="auto"/>
        <w:right w:val="none" w:sz="0" w:space="0" w:color="auto"/>
      </w:divBdr>
    </w:div>
    <w:div w:id="1383092921">
      <w:bodyDiv w:val="1"/>
      <w:marLeft w:val="0"/>
      <w:marRight w:val="0"/>
      <w:marTop w:val="0"/>
      <w:marBottom w:val="0"/>
      <w:divBdr>
        <w:top w:val="none" w:sz="0" w:space="0" w:color="auto"/>
        <w:left w:val="none" w:sz="0" w:space="0" w:color="auto"/>
        <w:bottom w:val="none" w:sz="0" w:space="0" w:color="auto"/>
        <w:right w:val="none" w:sz="0" w:space="0" w:color="auto"/>
      </w:divBdr>
    </w:div>
    <w:div w:id="1521814274">
      <w:bodyDiv w:val="1"/>
      <w:marLeft w:val="0"/>
      <w:marRight w:val="0"/>
      <w:marTop w:val="0"/>
      <w:marBottom w:val="0"/>
      <w:divBdr>
        <w:top w:val="none" w:sz="0" w:space="0" w:color="auto"/>
        <w:left w:val="none" w:sz="0" w:space="0" w:color="auto"/>
        <w:bottom w:val="none" w:sz="0" w:space="0" w:color="auto"/>
        <w:right w:val="none" w:sz="0" w:space="0" w:color="auto"/>
      </w:divBdr>
    </w:div>
    <w:div w:id="1723364013">
      <w:bodyDiv w:val="1"/>
      <w:marLeft w:val="0"/>
      <w:marRight w:val="0"/>
      <w:marTop w:val="0"/>
      <w:marBottom w:val="0"/>
      <w:divBdr>
        <w:top w:val="none" w:sz="0" w:space="0" w:color="auto"/>
        <w:left w:val="none" w:sz="0" w:space="0" w:color="auto"/>
        <w:bottom w:val="none" w:sz="0" w:space="0" w:color="auto"/>
        <w:right w:val="none" w:sz="0" w:space="0" w:color="auto"/>
      </w:divBdr>
      <w:divsChild>
        <w:div w:id="2128961071">
          <w:marLeft w:val="0"/>
          <w:marRight w:val="0"/>
          <w:marTop w:val="0"/>
          <w:marBottom w:val="0"/>
          <w:divBdr>
            <w:top w:val="none" w:sz="0" w:space="0" w:color="auto"/>
            <w:left w:val="none" w:sz="0" w:space="0" w:color="auto"/>
            <w:bottom w:val="none" w:sz="0" w:space="0" w:color="auto"/>
            <w:right w:val="none" w:sz="0" w:space="0" w:color="auto"/>
          </w:divBdr>
          <w:divsChild>
            <w:div w:id="201134203">
              <w:marLeft w:val="0"/>
              <w:marRight w:val="0"/>
              <w:marTop w:val="0"/>
              <w:marBottom w:val="0"/>
              <w:divBdr>
                <w:top w:val="none" w:sz="0" w:space="0" w:color="auto"/>
                <w:left w:val="none" w:sz="0" w:space="0" w:color="auto"/>
                <w:bottom w:val="none" w:sz="0" w:space="0" w:color="auto"/>
                <w:right w:val="none" w:sz="0" w:space="0" w:color="auto"/>
              </w:divBdr>
            </w:div>
            <w:div w:id="1468623311">
              <w:marLeft w:val="0"/>
              <w:marRight w:val="0"/>
              <w:marTop w:val="0"/>
              <w:marBottom w:val="0"/>
              <w:divBdr>
                <w:top w:val="none" w:sz="0" w:space="0" w:color="auto"/>
                <w:left w:val="none" w:sz="0" w:space="0" w:color="auto"/>
                <w:bottom w:val="none" w:sz="0" w:space="0" w:color="auto"/>
                <w:right w:val="none" w:sz="0" w:space="0" w:color="auto"/>
              </w:divBdr>
            </w:div>
            <w:div w:id="1318917421">
              <w:marLeft w:val="0"/>
              <w:marRight w:val="0"/>
              <w:marTop w:val="0"/>
              <w:marBottom w:val="0"/>
              <w:divBdr>
                <w:top w:val="none" w:sz="0" w:space="0" w:color="auto"/>
                <w:left w:val="none" w:sz="0" w:space="0" w:color="auto"/>
                <w:bottom w:val="none" w:sz="0" w:space="0" w:color="auto"/>
                <w:right w:val="none" w:sz="0" w:space="0" w:color="auto"/>
              </w:divBdr>
            </w:div>
            <w:div w:id="1872184102">
              <w:marLeft w:val="0"/>
              <w:marRight w:val="0"/>
              <w:marTop w:val="0"/>
              <w:marBottom w:val="0"/>
              <w:divBdr>
                <w:top w:val="none" w:sz="0" w:space="0" w:color="auto"/>
                <w:left w:val="none" w:sz="0" w:space="0" w:color="auto"/>
                <w:bottom w:val="none" w:sz="0" w:space="0" w:color="auto"/>
                <w:right w:val="none" w:sz="0" w:space="0" w:color="auto"/>
              </w:divBdr>
            </w:div>
            <w:div w:id="901716972">
              <w:marLeft w:val="0"/>
              <w:marRight w:val="0"/>
              <w:marTop w:val="0"/>
              <w:marBottom w:val="0"/>
              <w:divBdr>
                <w:top w:val="none" w:sz="0" w:space="0" w:color="auto"/>
                <w:left w:val="none" w:sz="0" w:space="0" w:color="auto"/>
                <w:bottom w:val="none" w:sz="0" w:space="0" w:color="auto"/>
                <w:right w:val="none" w:sz="0" w:space="0" w:color="auto"/>
              </w:divBdr>
            </w:div>
            <w:div w:id="1264067814">
              <w:marLeft w:val="0"/>
              <w:marRight w:val="0"/>
              <w:marTop w:val="0"/>
              <w:marBottom w:val="0"/>
              <w:divBdr>
                <w:top w:val="none" w:sz="0" w:space="0" w:color="auto"/>
                <w:left w:val="none" w:sz="0" w:space="0" w:color="auto"/>
                <w:bottom w:val="none" w:sz="0" w:space="0" w:color="auto"/>
                <w:right w:val="none" w:sz="0" w:space="0" w:color="auto"/>
              </w:divBdr>
            </w:div>
            <w:div w:id="500854332">
              <w:marLeft w:val="0"/>
              <w:marRight w:val="0"/>
              <w:marTop w:val="0"/>
              <w:marBottom w:val="0"/>
              <w:divBdr>
                <w:top w:val="none" w:sz="0" w:space="0" w:color="auto"/>
                <w:left w:val="none" w:sz="0" w:space="0" w:color="auto"/>
                <w:bottom w:val="none" w:sz="0" w:space="0" w:color="auto"/>
                <w:right w:val="none" w:sz="0" w:space="0" w:color="auto"/>
              </w:divBdr>
            </w:div>
            <w:div w:id="682904712">
              <w:marLeft w:val="0"/>
              <w:marRight w:val="0"/>
              <w:marTop w:val="0"/>
              <w:marBottom w:val="0"/>
              <w:divBdr>
                <w:top w:val="none" w:sz="0" w:space="0" w:color="auto"/>
                <w:left w:val="none" w:sz="0" w:space="0" w:color="auto"/>
                <w:bottom w:val="none" w:sz="0" w:space="0" w:color="auto"/>
                <w:right w:val="none" w:sz="0" w:space="0" w:color="auto"/>
              </w:divBdr>
            </w:div>
            <w:div w:id="626861123">
              <w:marLeft w:val="0"/>
              <w:marRight w:val="0"/>
              <w:marTop w:val="0"/>
              <w:marBottom w:val="0"/>
              <w:divBdr>
                <w:top w:val="none" w:sz="0" w:space="0" w:color="auto"/>
                <w:left w:val="none" w:sz="0" w:space="0" w:color="auto"/>
                <w:bottom w:val="none" w:sz="0" w:space="0" w:color="auto"/>
                <w:right w:val="none" w:sz="0" w:space="0" w:color="auto"/>
              </w:divBdr>
            </w:div>
            <w:div w:id="628587394">
              <w:marLeft w:val="0"/>
              <w:marRight w:val="0"/>
              <w:marTop w:val="0"/>
              <w:marBottom w:val="0"/>
              <w:divBdr>
                <w:top w:val="none" w:sz="0" w:space="0" w:color="auto"/>
                <w:left w:val="none" w:sz="0" w:space="0" w:color="auto"/>
                <w:bottom w:val="none" w:sz="0" w:space="0" w:color="auto"/>
                <w:right w:val="none" w:sz="0" w:space="0" w:color="auto"/>
              </w:divBdr>
            </w:div>
            <w:div w:id="1715690374">
              <w:marLeft w:val="0"/>
              <w:marRight w:val="0"/>
              <w:marTop w:val="0"/>
              <w:marBottom w:val="0"/>
              <w:divBdr>
                <w:top w:val="none" w:sz="0" w:space="0" w:color="auto"/>
                <w:left w:val="none" w:sz="0" w:space="0" w:color="auto"/>
                <w:bottom w:val="none" w:sz="0" w:space="0" w:color="auto"/>
                <w:right w:val="none" w:sz="0" w:space="0" w:color="auto"/>
              </w:divBdr>
            </w:div>
            <w:div w:id="1295524357">
              <w:marLeft w:val="0"/>
              <w:marRight w:val="0"/>
              <w:marTop w:val="0"/>
              <w:marBottom w:val="0"/>
              <w:divBdr>
                <w:top w:val="none" w:sz="0" w:space="0" w:color="auto"/>
                <w:left w:val="none" w:sz="0" w:space="0" w:color="auto"/>
                <w:bottom w:val="none" w:sz="0" w:space="0" w:color="auto"/>
                <w:right w:val="none" w:sz="0" w:space="0" w:color="auto"/>
              </w:divBdr>
            </w:div>
            <w:div w:id="660738800">
              <w:marLeft w:val="0"/>
              <w:marRight w:val="0"/>
              <w:marTop w:val="0"/>
              <w:marBottom w:val="0"/>
              <w:divBdr>
                <w:top w:val="none" w:sz="0" w:space="0" w:color="auto"/>
                <w:left w:val="none" w:sz="0" w:space="0" w:color="auto"/>
                <w:bottom w:val="none" w:sz="0" w:space="0" w:color="auto"/>
                <w:right w:val="none" w:sz="0" w:space="0" w:color="auto"/>
              </w:divBdr>
            </w:div>
            <w:div w:id="348991709">
              <w:marLeft w:val="0"/>
              <w:marRight w:val="0"/>
              <w:marTop w:val="0"/>
              <w:marBottom w:val="0"/>
              <w:divBdr>
                <w:top w:val="none" w:sz="0" w:space="0" w:color="auto"/>
                <w:left w:val="none" w:sz="0" w:space="0" w:color="auto"/>
                <w:bottom w:val="none" w:sz="0" w:space="0" w:color="auto"/>
                <w:right w:val="none" w:sz="0" w:space="0" w:color="auto"/>
              </w:divBdr>
            </w:div>
            <w:div w:id="624578795">
              <w:marLeft w:val="0"/>
              <w:marRight w:val="0"/>
              <w:marTop w:val="0"/>
              <w:marBottom w:val="0"/>
              <w:divBdr>
                <w:top w:val="none" w:sz="0" w:space="0" w:color="auto"/>
                <w:left w:val="none" w:sz="0" w:space="0" w:color="auto"/>
                <w:bottom w:val="none" w:sz="0" w:space="0" w:color="auto"/>
                <w:right w:val="none" w:sz="0" w:space="0" w:color="auto"/>
              </w:divBdr>
            </w:div>
            <w:div w:id="1872691726">
              <w:marLeft w:val="0"/>
              <w:marRight w:val="0"/>
              <w:marTop w:val="0"/>
              <w:marBottom w:val="0"/>
              <w:divBdr>
                <w:top w:val="none" w:sz="0" w:space="0" w:color="auto"/>
                <w:left w:val="none" w:sz="0" w:space="0" w:color="auto"/>
                <w:bottom w:val="none" w:sz="0" w:space="0" w:color="auto"/>
                <w:right w:val="none" w:sz="0" w:space="0" w:color="auto"/>
              </w:divBdr>
            </w:div>
            <w:div w:id="1338997232">
              <w:marLeft w:val="0"/>
              <w:marRight w:val="0"/>
              <w:marTop w:val="0"/>
              <w:marBottom w:val="0"/>
              <w:divBdr>
                <w:top w:val="none" w:sz="0" w:space="0" w:color="auto"/>
                <w:left w:val="none" w:sz="0" w:space="0" w:color="auto"/>
                <w:bottom w:val="none" w:sz="0" w:space="0" w:color="auto"/>
                <w:right w:val="none" w:sz="0" w:space="0" w:color="auto"/>
              </w:divBdr>
            </w:div>
            <w:div w:id="604001897">
              <w:marLeft w:val="0"/>
              <w:marRight w:val="0"/>
              <w:marTop w:val="0"/>
              <w:marBottom w:val="0"/>
              <w:divBdr>
                <w:top w:val="none" w:sz="0" w:space="0" w:color="auto"/>
                <w:left w:val="none" w:sz="0" w:space="0" w:color="auto"/>
                <w:bottom w:val="none" w:sz="0" w:space="0" w:color="auto"/>
                <w:right w:val="none" w:sz="0" w:space="0" w:color="auto"/>
              </w:divBdr>
            </w:div>
            <w:div w:id="332495898">
              <w:marLeft w:val="0"/>
              <w:marRight w:val="0"/>
              <w:marTop w:val="0"/>
              <w:marBottom w:val="0"/>
              <w:divBdr>
                <w:top w:val="none" w:sz="0" w:space="0" w:color="auto"/>
                <w:left w:val="none" w:sz="0" w:space="0" w:color="auto"/>
                <w:bottom w:val="none" w:sz="0" w:space="0" w:color="auto"/>
                <w:right w:val="none" w:sz="0" w:space="0" w:color="auto"/>
              </w:divBdr>
            </w:div>
            <w:div w:id="344064934">
              <w:marLeft w:val="0"/>
              <w:marRight w:val="0"/>
              <w:marTop w:val="0"/>
              <w:marBottom w:val="0"/>
              <w:divBdr>
                <w:top w:val="none" w:sz="0" w:space="0" w:color="auto"/>
                <w:left w:val="none" w:sz="0" w:space="0" w:color="auto"/>
                <w:bottom w:val="none" w:sz="0" w:space="0" w:color="auto"/>
                <w:right w:val="none" w:sz="0" w:space="0" w:color="auto"/>
              </w:divBdr>
            </w:div>
            <w:div w:id="57093068">
              <w:marLeft w:val="0"/>
              <w:marRight w:val="0"/>
              <w:marTop w:val="0"/>
              <w:marBottom w:val="0"/>
              <w:divBdr>
                <w:top w:val="none" w:sz="0" w:space="0" w:color="auto"/>
                <w:left w:val="none" w:sz="0" w:space="0" w:color="auto"/>
                <w:bottom w:val="none" w:sz="0" w:space="0" w:color="auto"/>
                <w:right w:val="none" w:sz="0" w:space="0" w:color="auto"/>
              </w:divBdr>
            </w:div>
            <w:div w:id="1202594017">
              <w:marLeft w:val="0"/>
              <w:marRight w:val="0"/>
              <w:marTop w:val="0"/>
              <w:marBottom w:val="0"/>
              <w:divBdr>
                <w:top w:val="none" w:sz="0" w:space="0" w:color="auto"/>
                <w:left w:val="none" w:sz="0" w:space="0" w:color="auto"/>
                <w:bottom w:val="none" w:sz="0" w:space="0" w:color="auto"/>
                <w:right w:val="none" w:sz="0" w:space="0" w:color="auto"/>
              </w:divBdr>
            </w:div>
            <w:div w:id="1875652174">
              <w:marLeft w:val="0"/>
              <w:marRight w:val="0"/>
              <w:marTop w:val="0"/>
              <w:marBottom w:val="0"/>
              <w:divBdr>
                <w:top w:val="none" w:sz="0" w:space="0" w:color="auto"/>
                <w:left w:val="none" w:sz="0" w:space="0" w:color="auto"/>
                <w:bottom w:val="none" w:sz="0" w:space="0" w:color="auto"/>
                <w:right w:val="none" w:sz="0" w:space="0" w:color="auto"/>
              </w:divBdr>
            </w:div>
            <w:div w:id="2025395536">
              <w:marLeft w:val="0"/>
              <w:marRight w:val="0"/>
              <w:marTop w:val="0"/>
              <w:marBottom w:val="0"/>
              <w:divBdr>
                <w:top w:val="none" w:sz="0" w:space="0" w:color="auto"/>
                <w:left w:val="none" w:sz="0" w:space="0" w:color="auto"/>
                <w:bottom w:val="none" w:sz="0" w:space="0" w:color="auto"/>
                <w:right w:val="none" w:sz="0" w:space="0" w:color="auto"/>
              </w:divBdr>
            </w:div>
            <w:div w:id="812335292">
              <w:marLeft w:val="0"/>
              <w:marRight w:val="0"/>
              <w:marTop w:val="0"/>
              <w:marBottom w:val="0"/>
              <w:divBdr>
                <w:top w:val="none" w:sz="0" w:space="0" w:color="auto"/>
                <w:left w:val="none" w:sz="0" w:space="0" w:color="auto"/>
                <w:bottom w:val="none" w:sz="0" w:space="0" w:color="auto"/>
                <w:right w:val="none" w:sz="0" w:space="0" w:color="auto"/>
              </w:divBdr>
            </w:div>
            <w:div w:id="227693900">
              <w:marLeft w:val="0"/>
              <w:marRight w:val="0"/>
              <w:marTop w:val="0"/>
              <w:marBottom w:val="0"/>
              <w:divBdr>
                <w:top w:val="none" w:sz="0" w:space="0" w:color="auto"/>
                <w:left w:val="none" w:sz="0" w:space="0" w:color="auto"/>
                <w:bottom w:val="none" w:sz="0" w:space="0" w:color="auto"/>
                <w:right w:val="none" w:sz="0" w:space="0" w:color="auto"/>
              </w:divBdr>
            </w:div>
            <w:div w:id="1542665194">
              <w:marLeft w:val="0"/>
              <w:marRight w:val="0"/>
              <w:marTop w:val="0"/>
              <w:marBottom w:val="0"/>
              <w:divBdr>
                <w:top w:val="none" w:sz="0" w:space="0" w:color="auto"/>
                <w:left w:val="none" w:sz="0" w:space="0" w:color="auto"/>
                <w:bottom w:val="none" w:sz="0" w:space="0" w:color="auto"/>
                <w:right w:val="none" w:sz="0" w:space="0" w:color="auto"/>
              </w:divBdr>
            </w:div>
            <w:div w:id="784082181">
              <w:marLeft w:val="0"/>
              <w:marRight w:val="0"/>
              <w:marTop w:val="0"/>
              <w:marBottom w:val="0"/>
              <w:divBdr>
                <w:top w:val="none" w:sz="0" w:space="0" w:color="auto"/>
                <w:left w:val="none" w:sz="0" w:space="0" w:color="auto"/>
                <w:bottom w:val="none" w:sz="0" w:space="0" w:color="auto"/>
                <w:right w:val="none" w:sz="0" w:space="0" w:color="auto"/>
              </w:divBdr>
            </w:div>
            <w:div w:id="1436753065">
              <w:marLeft w:val="0"/>
              <w:marRight w:val="0"/>
              <w:marTop w:val="0"/>
              <w:marBottom w:val="0"/>
              <w:divBdr>
                <w:top w:val="none" w:sz="0" w:space="0" w:color="auto"/>
                <w:left w:val="none" w:sz="0" w:space="0" w:color="auto"/>
                <w:bottom w:val="none" w:sz="0" w:space="0" w:color="auto"/>
                <w:right w:val="none" w:sz="0" w:space="0" w:color="auto"/>
              </w:divBdr>
            </w:div>
            <w:div w:id="499198416">
              <w:marLeft w:val="0"/>
              <w:marRight w:val="0"/>
              <w:marTop w:val="0"/>
              <w:marBottom w:val="0"/>
              <w:divBdr>
                <w:top w:val="none" w:sz="0" w:space="0" w:color="auto"/>
                <w:left w:val="none" w:sz="0" w:space="0" w:color="auto"/>
                <w:bottom w:val="none" w:sz="0" w:space="0" w:color="auto"/>
                <w:right w:val="none" w:sz="0" w:space="0" w:color="auto"/>
              </w:divBdr>
            </w:div>
            <w:div w:id="597104606">
              <w:marLeft w:val="0"/>
              <w:marRight w:val="0"/>
              <w:marTop w:val="0"/>
              <w:marBottom w:val="0"/>
              <w:divBdr>
                <w:top w:val="none" w:sz="0" w:space="0" w:color="auto"/>
                <w:left w:val="none" w:sz="0" w:space="0" w:color="auto"/>
                <w:bottom w:val="none" w:sz="0" w:space="0" w:color="auto"/>
                <w:right w:val="none" w:sz="0" w:space="0" w:color="auto"/>
              </w:divBdr>
            </w:div>
            <w:div w:id="1077702828">
              <w:marLeft w:val="0"/>
              <w:marRight w:val="0"/>
              <w:marTop w:val="0"/>
              <w:marBottom w:val="0"/>
              <w:divBdr>
                <w:top w:val="none" w:sz="0" w:space="0" w:color="auto"/>
                <w:left w:val="none" w:sz="0" w:space="0" w:color="auto"/>
                <w:bottom w:val="none" w:sz="0" w:space="0" w:color="auto"/>
                <w:right w:val="none" w:sz="0" w:space="0" w:color="auto"/>
              </w:divBdr>
            </w:div>
            <w:div w:id="651719916">
              <w:marLeft w:val="0"/>
              <w:marRight w:val="0"/>
              <w:marTop w:val="0"/>
              <w:marBottom w:val="0"/>
              <w:divBdr>
                <w:top w:val="none" w:sz="0" w:space="0" w:color="auto"/>
                <w:left w:val="none" w:sz="0" w:space="0" w:color="auto"/>
                <w:bottom w:val="none" w:sz="0" w:space="0" w:color="auto"/>
                <w:right w:val="none" w:sz="0" w:space="0" w:color="auto"/>
              </w:divBdr>
            </w:div>
            <w:div w:id="97583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70231">
      <w:bodyDiv w:val="1"/>
      <w:marLeft w:val="0"/>
      <w:marRight w:val="0"/>
      <w:marTop w:val="0"/>
      <w:marBottom w:val="0"/>
      <w:divBdr>
        <w:top w:val="none" w:sz="0" w:space="0" w:color="auto"/>
        <w:left w:val="none" w:sz="0" w:space="0" w:color="auto"/>
        <w:bottom w:val="none" w:sz="0" w:space="0" w:color="auto"/>
        <w:right w:val="none" w:sz="0" w:space="0" w:color="auto"/>
      </w:divBdr>
      <w:divsChild>
        <w:div w:id="1581678194">
          <w:marLeft w:val="0"/>
          <w:marRight w:val="0"/>
          <w:marTop w:val="0"/>
          <w:marBottom w:val="0"/>
          <w:divBdr>
            <w:top w:val="none" w:sz="0" w:space="0" w:color="auto"/>
            <w:left w:val="none" w:sz="0" w:space="0" w:color="auto"/>
            <w:bottom w:val="none" w:sz="0" w:space="0" w:color="auto"/>
            <w:right w:val="none" w:sz="0" w:space="0" w:color="auto"/>
          </w:divBdr>
        </w:div>
        <w:div w:id="311300134">
          <w:marLeft w:val="0"/>
          <w:marRight w:val="0"/>
          <w:marTop w:val="0"/>
          <w:marBottom w:val="0"/>
          <w:divBdr>
            <w:top w:val="none" w:sz="0" w:space="0" w:color="auto"/>
            <w:left w:val="none" w:sz="0" w:space="0" w:color="auto"/>
            <w:bottom w:val="none" w:sz="0" w:space="0" w:color="auto"/>
            <w:right w:val="none" w:sz="0" w:space="0" w:color="auto"/>
          </w:divBdr>
        </w:div>
        <w:div w:id="328290352">
          <w:marLeft w:val="0"/>
          <w:marRight w:val="0"/>
          <w:marTop w:val="0"/>
          <w:marBottom w:val="0"/>
          <w:divBdr>
            <w:top w:val="none" w:sz="0" w:space="0" w:color="auto"/>
            <w:left w:val="none" w:sz="0" w:space="0" w:color="auto"/>
            <w:bottom w:val="none" w:sz="0" w:space="0" w:color="auto"/>
            <w:right w:val="none" w:sz="0" w:space="0" w:color="auto"/>
          </w:divBdr>
        </w:div>
      </w:divsChild>
    </w:div>
    <w:div w:id="1855994664">
      <w:bodyDiv w:val="1"/>
      <w:marLeft w:val="0"/>
      <w:marRight w:val="0"/>
      <w:marTop w:val="0"/>
      <w:marBottom w:val="0"/>
      <w:divBdr>
        <w:top w:val="none" w:sz="0" w:space="0" w:color="auto"/>
        <w:left w:val="none" w:sz="0" w:space="0" w:color="auto"/>
        <w:bottom w:val="none" w:sz="0" w:space="0" w:color="auto"/>
        <w:right w:val="none" w:sz="0" w:space="0" w:color="auto"/>
      </w:divBdr>
      <w:divsChild>
        <w:div w:id="491217592">
          <w:marLeft w:val="0"/>
          <w:marRight w:val="0"/>
          <w:marTop w:val="0"/>
          <w:marBottom w:val="0"/>
          <w:divBdr>
            <w:top w:val="none" w:sz="0" w:space="0" w:color="auto"/>
            <w:left w:val="none" w:sz="0" w:space="0" w:color="auto"/>
            <w:bottom w:val="none" w:sz="0" w:space="0" w:color="auto"/>
            <w:right w:val="none" w:sz="0" w:space="0" w:color="auto"/>
          </w:divBdr>
        </w:div>
        <w:div w:id="1264606683">
          <w:marLeft w:val="0"/>
          <w:marRight w:val="0"/>
          <w:marTop w:val="0"/>
          <w:marBottom w:val="0"/>
          <w:divBdr>
            <w:top w:val="none" w:sz="0" w:space="0" w:color="auto"/>
            <w:left w:val="none" w:sz="0" w:space="0" w:color="auto"/>
            <w:bottom w:val="none" w:sz="0" w:space="0" w:color="auto"/>
            <w:right w:val="none" w:sz="0" w:space="0" w:color="auto"/>
          </w:divBdr>
        </w:div>
        <w:div w:id="992373445">
          <w:marLeft w:val="0"/>
          <w:marRight w:val="0"/>
          <w:marTop w:val="0"/>
          <w:marBottom w:val="0"/>
          <w:divBdr>
            <w:top w:val="none" w:sz="0" w:space="0" w:color="auto"/>
            <w:left w:val="none" w:sz="0" w:space="0" w:color="auto"/>
            <w:bottom w:val="none" w:sz="0" w:space="0" w:color="auto"/>
            <w:right w:val="none" w:sz="0" w:space="0" w:color="auto"/>
          </w:divBdr>
        </w:div>
        <w:div w:id="1009214968">
          <w:marLeft w:val="0"/>
          <w:marRight w:val="0"/>
          <w:marTop w:val="0"/>
          <w:marBottom w:val="0"/>
          <w:divBdr>
            <w:top w:val="none" w:sz="0" w:space="0" w:color="auto"/>
            <w:left w:val="none" w:sz="0" w:space="0" w:color="auto"/>
            <w:bottom w:val="none" w:sz="0" w:space="0" w:color="auto"/>
            <w:right w:val="none" w:sz="0" w:space="0" w:color="auto"/>
          </w:divBdr>
        </w:div>
        <w:div w:id="100493864">
          <w:marLeft w:val="0"/>
          <w:marRight w:val="0"/>
          <w:marTop w:val="0"/>
          <w:marBottom w:val="0"/>
          <w:divBdr>
            <w:top w:val="none" w:sz="0" w:space="0" w:color="auto"/>
            <w:left w:val="none" w:sz="0" w:space="0" w:color="auto"/>
            <w:bottom w:val="none" w:sz="0" w:space="0" w:color="auto"/>
            <w:right w:val="none" w:sz="0" w:space="0" w:color="auto"/>
          </w:divBdr>
        </w:div>
        <w:div w:id="586428735">
          <w:marLeft w:val="0"/>
          <w:marRight w:val="0"/>
          <w:marTop w:val="0"/>
          <w:marBottom w:val="0"/>
          <w:divBdr>
            <w:top w:val="none" w:sz="0" w:space="0" w:color="auto"/>
            <w:left w:val="none" w:sz="0" w:space="0" w:color="auto"/>
            <w:bottom w:val="none" w:sz="0" w:space="0" w:color="auto"/>
            <w:right w:val="none" w:sz="0" w:space="0" w:color="auto"/>
          </w:divBdr>
        </w:div>
        <w:div w:id="1218668990">
          <w:marLeft w:val="0"/>
          <w:marRight w:val="0"/>
          <w:marTop w:val="0"/>
          <w:marBottom w:val="0"/>
          <w:divBdr>
            <w:top w:val="none" w:sz="0" w:space="0" w:color="auto"/>
            <w:left w:val="none" w:sz="0" w:space="0" w:color="auto"/>
            <w:bottom w:val="none" w:sz="0" w:space="0" w:color="auto"/>
            <w:right w:val="none" w:sz="0" w:space="0" w:color="auto"/>
          </w:divBdr>
        </w:div>
        <w:div w:id="1105804392">
          <w:marLeft w:val="0"/>
          <w:marRight w:val="0"/>
          <w:marTop w:val="0"/>
          <w:marBottom w:val="0"/>
          <w:divBdr>
            <w:top w:val="none" w:sz="0" w:space="0" w:color="auto"/>
            <w:left w:val="none" w:sz="0" w:space="0" w:color="auto"/>
            <w:bottom w:val="none" w:sz="0" w:space="0" w:color="auto"/>
            <w:right w:val="none" w:sz="0" w:space="0" w:color="auto"/>
          </w:divBdr>
        </w:div>
      </w:divsChild>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 w:id="2026589737">
      <w:bodyDiv w:val="1"/>
      <w:marLeft w:val="0"/>
      <w:marRight w:val="0"/>
      <w:marTop w:val="0"/>
      <w:marBottom w:val="0"/>
      <w:divBdr>
        <w:top w:val="none" w:sz="0" w:space="0" w:color="auto"/>
        <w:left w:val="none" w:sz="0" w:space="0" w:color="auto"/>
        <w:bottom w:val="none" w:sz="0" w:space="0" w:color="auto"/>
        <w:right w:val="none" w:sz="0" w:space="0" w:color="auto"/>
      </w:divBdr>
      <w:divsChild>
        <w:div w:id="1010256599">
          <w:marLeft w:val="0"/>
          <w:marRight w:val="0"/>
          <w:marTop w:val="0"/>
          <w:marBottom w:val="0"/>
          <w:divBdr>
            <w:top w:val="none" w:sz="0" w:space="0" w:color="auto"/>
            <w:left w:val="none" w:sz="0" w:space="0" w:color="auto"/>
            <w:bottom w:val="none" w:sz="0" w:space="0" w:color="auto"/>
            <w:right w:val="none" w:sz="0" w:space="0" w:color="auto"/>
          </w:divBdr>
        </w:div>
        <w:div w:id="1063336912">
          <w:marLeft w:val="0"/>
          <w:marRight w:val="0"/>
          <w:marTop w:val="0"/>
          <w:marBottom w:val="0"/>
          <w:divBdr>
            <w:top w:val="none" w:sz="0" w:space="0" w:color="auto"/>
            <w:left w:val="none" w:sz="0" w:space="0" w:color="auto"/>
            <w:bottom w:val="none" w:sz="0" w:space="0" w:color="auto"/>
            <w:right w:val="none" w:sz="0" w:space="0" w:color="auto"/>
          </w:divBdr>
        </w:div>
        <w:div w:id="622806111">
          <w:marLeft w:val="0"/>
          <w:marRight w:val="0"/>
          <w:marTop w:val="0"/>
          <w:marBottom w:val="0"/>
          <w:divBdr>
            <w:top w:val="none" w:sz="0" w:space="0" w:color="auto"/>
            <w:left w:val="none" w:sz="0" w:space="0" w:color="auto"/>
            <w:bottom w:val="none" w:sz="0" w:space="0" w:color="auto"/>
            <w:right w:val="none" w:sz="0" w:space="0" w:color="auto"/>
          </w:divBdr>
        </w:div>
        <w:div w:id="134565139">
          <w:marLeft w:val="0"/>
          <w:marRight w:val="0"/>
          <w:marTop w:val="0"/>
          <w:marBottom w:val="0"/>
          <w:divBdr>
            <w:top w:val="none" w:sz="0" w:space="0" w:color="auto"/>
            <w:left w:val="none" w:sz="0" w:space="0" w:color="auto"/>
            <w:bottom w:val="none" w:sz="0" w:space="0" w:color="auto"/>
            <w:right w:val="none" w:sz="0" w:space="0" w:color="auto"/>
          </w:divBdr>
        </w:div>
        <w:div w:id="2073307607">
          <w:marLeft w:val="0"/>
          <w:marRight w:val="0"/>
          <w:marTop w:val="0"/>
          <w:marBottom w:val="0"/>
          <w:divBdr>
            <w:top w:val="none" w:sz="0" w:space="0" w:color="auto"/>
            <w:left w:val="none" w:sz="0" w:space="0" w:color="auto"/>
            <w:bottom w:val="none" w:sz="0" w:space="0" w:color="auto"/>
            <w:right w:val="none" w:sz="0" w:space="0" w:color="auto"/>
          </w:divBdr>
        </w:div>
        <w:div w:id="772094721">
          <w:marLeft w:val="0"/>
          <w:marRight w:val="0"/>
          <w:marTop w:val="0"/>
          <w:marBottom w:val="0"/>
          <w:divBdr>
            <w:top w:val="none" w:sz="0" w:space="0" w:color="auto"/>
            <w:left w:val="none" w:sz="0" w:space="0" w:color="auto"/>
            <w:bottom w:val="none" w:sz="0" w:space="0" w:color="auto"/>
            <w:right w:val="none" w:sz="0" w:space="0" w:color="auto"/>
          </w:divBdr>
        </w:div>
        <w:div w:id="603072681">
          <w:marLeft w:val="0"/>
          <w:marRight w:val="0"/>
          <w:marTop w:val="0"/>
          <w:marBottom w:val="0"/>
          <w:divBdr>
            <w:top w:val="none" w:sz="0" w:space="0" w:color="auto"/>
            <w:left w:val="none" w:sz="0" w:space="0" w:color="auto"/>
            <w:bottom w:val="none" w:sz="0" w:space="0" w:color="auto"/>
            <w:right w:val="none" w:sz="0" w:space="0" w:color="auto"/>
          </w:divBdr>
        </w:div>
        <w:div w:id="1921986156">
          <w:marLeft w:val="0"/>
          <w:marRight w:val="0"/>
          <w:marTop w:val="0"/>
          <w:marBottom w:val="0"/>
          <w:divBdr>
            <w:top w:val="none" w:sz="0" w:space="0" w:color="auto"/>
            <w:left w:val="none" w:sz="0" w:space="0" w:color="auto"/>
            <w:bottom w:val="none" w:sz="0" w:space="0" w:color="auto"/>
            <w:right w:val="none" w:sz="0" w:space="0" w:color="auto"/>
          </w:divBdr>
        </w:div>
      </w:divsChild>
    </w:div>
    <w:div w:id="2111123718">
      <w:bodyDiv w:val="1"/>
      <w:marLeft w:val="0"/>
      <w:marRight w:val="0"/>
      <w:marTop w:val="0"/>
      <w:marBottom w:val="0"/>
      <w:divBdr>
        <w:top w:val="none" w:sz="0" w:space="0" w:color="auto"/>
        <w:left w:val="none" w:sz="0" w:space="0" w:color="auto"/>
        <w:bottom w:val="none" w:sz="0" w:space="0" w:color="auto"/>
        <w:right w:val="none" w:sz="0" w:space="0" w:color="auto"/>
      </w:divBdr>
      <w:divsChild>
        <w:div w:id="632830223">
          <w:marLeft w:val="225"/>
          <w:marRight w:val="0"/>
          <w:marTop w:val="0"/>
          <w:marBottom w:val="0"/>
          <w:divBdr>
            <w:top w:val="none" w:sz="0" w:space="0" w:color="auto"/>
            <w:left w:val="none" w:sz="0" w:space="0" w:color="auto"/>
            <w:bottom w:val="none" w:sz="0" w:space="0" w:color="auto"/>
            <w:right w:val="none" w:sz="0" w:space="0" w:color="auto"/>
          </w:divBdr>
          <w:divsChild>
            <w:div w:id="9496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2604">
      <w:bodyDiv w:val="1"/>
      <w:marLeft w:val="0"/>
      <w:marRight w:val="0"/>
      <w:marTop w:val="0"/>
      <w:marBottom w:val="0"/>
      <w:divBdr>
        <w:top w:val="none" w:sz="0" w:space="0" w:color="auto"/>
        <w:left w:val="none" w:sz="0" w:space="0" w:color="auto"/>
        <w:bottom w:val="none" w:sz="0" w:space="0" w:color="auto"/>
        <w:right w:val="none" w:sz="0" w:space="0" w:color="auto"/>
      </w:divBdr>
      <w:divsChild>
        <w:div w:id="509485666">
          <w:marLeft w:val="0"/>
          <w:marRight w:val="0"/>
          <w:marTop w:val="0"/>
          <w:marBottom w:val="0"/>
          <w:divBdr>
            <w:top w:val="none" w:sz="0" w:space="0" w:color="auto"/>
            <w:left w:val="none" w:sz="0" w:space="0" w:color="auto"/>
            <w:bottom w:val="none" w:sz="0" w:space="0" w:color="auto"/>
            <w:right w:val="none" w:sz="0" w:space="0" w:color="auto"/>
          </w:divBdr>
        </w:div>
        <w:div w:id="488446814">
          <w:marLeft w:val="0"/>
          <w:marRight w:val="0"/>
          <w:marTop w:val="0"/>
          <w:marBottom w:val="0"/>
          <w:divBdr>
            <w:top w:val="none" w:sz="0" w:space="0" w:color="auto"/>
            <w:left w:val="none" w:sz="0" w:space="0" w:color="auto"/>
            <w:bottom w:val="none" w:sz="0" w:space="0" w:color="auto"/>
            <w:right w:val="none" w:sz="0" w:space="0" w:color="auto"/>
          </w:divBdr>
        </w:div>
        <w:div w:id="208575535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hangelabsolutions.org/publications/model-ord-smokefree-housing" TargetMode="External"/><Relationship Id="rId9" Type="http://schemas.openxmlformats.org/officeDocument/2006/relationships/hyperlink" Target="http://www.changelabsolutions.org/tobaccoquestions" TargetMode="External"/><Relationship Id="rId10" Type="http://schemas.openxmlformats.org/officeDocument/2006/relationships/hyperlink" Target="https://www.changelabsolutions.org/changelab-solutions-contact-us"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cdph.ca.gov/Programs/CCDPHP/DCDIC/CTCB/CDPH%20Document%20Library/ResearchandEvaluation/FactsandFigures/2016FactsFiguresWeb.pdf" TargetMode="External"/><Relationship Id="rId14" Type="http://schemas.openxmlformats.org/officeDocument/2006/relationships/hyperlink" Target="https://www.cdph.ca.gov/Programs/CCDPHP/DCDIC/CTCB/CDPH%20Document%20Library/ResearchandEvaluation/FactsandFigures/2016FactsFiguresWeb.pdf" TargetMode="External"/><Relationship Id="rId15" Type="http://schemas.openxmlformats.org/officeDocument/2006/relationships/hyperlink" Target="https://www.cdph.ca.gov/Programs/CCDPHP/DCDIC/CTCB/CDPH%20Document%20Library/ResearchandEvaluation/FactsandFigures/2016FactsFiguresWeb.pdf" TargetMode="External"/><Relationship Id="rId16" Type="http://schemas.openxmlformats.org/officeDocument/2006/relationships/hyperlink" Target="https://www.cdph.ca.gov/Programs/CCDPHP/DCDIC/CTCB/CDPH%20Document%20Library/ResearchandEvaluation/FactsandFigures/2016FactsFiguresWeb.pdf" TargetMode="External"/><Relationship Id="rId17" Type="http://schemas.openxmlformats.org/officeDocument/2006/relationships/hyperlink" Target="http://www.cdc.gov/tobacco/data_statistics/sgr/2006/index.htm" TargetMode="External"/><Relationship Id="rId18" Type="http://schemas.openxmlformats.org/officeDocument/2006/relationships/hyperlink" Target="https://www.cdc.gov/tobacco/data_statistics/sgr/2006/index.htm" TargetMode="External"/><Relationship Id="rId19" Type="http://schemas.openxmlformats.org/officeDocument/2006/relationships/hyperlink" Target="http://www.arb.ca.gov/toxics/ets/factsheetets.pdf" TargetMode="External"/><Relationship Id="rId63" Type="http://schemas.openxmlformats.org/officeDocument/2006/relationships/hyperlink" Target="https://no-smoke.org/wp-content/uploads/pdf/ecigslaws.pdf" TargetMode="External"/><Relationship Id="rId64" Type="http://schemas.openxmlformats.org/officeDocument/2006/relationships/hyperlink" Target="https://center4tobaccopolicy.org/wp-content/uploads/2018/03/List-of-Municipalities-that-Restrict-Smoking-in-Recreation-Areas-2018-03-15.pdf" TargetMode="External"/><Relationship Id="rId65" Type="http://schemas.openxmlformats.org/officeDocument/2006/relationships/hyperlink" Target="https://center4tobaccopolicy.org/wp-content/uploads/2018/03/Municipalities-that-Restrict-Smoking-in-Outdoor-Dining-2018-03-15.pdf" TargetMode="External"/><Relationship Id="rId66" Type="http://schemas.openxmlformats.org/officeDocument/2006/relationships/hyperlink" Target="https://center4tobaccopolicy.org/wp-content/uploads/2018/03/Municipalities-that-Restrict-Smoking-in-Entryways-2018-03-15-1.pdf" TargetMode="External"/><Relationship Id="rId67" Type="http://schemas.openxmlformats.org/officeDocument/2006/relationships/hyperlink" Target="http://changelabsolutions.org/publications/no-right-to-smoke-CA" TargetMode="External"/><Relationship Id="rId50" Type="http://schemas.openxmlformats.org/officeDocument/2006/relationships/hyperlink" Target="https://www.thecommunityguide.org/findings/tobacco-use-and-secondhand-smoke-exposure-smoke-free-policies" TargetMode="External"/><Relationship Id="rId51" Type="http://schemas.openxmlformats.org/officeDocument/2006/relationships/hyperlink" Target="https://www.cdc.gov/tobacco/data_statistics/fact_sheets/smokeless/health_effects/index.htm" TargetMode="External"/><Relationship Id="rId52" Type="http://schemas.openxmlformats.org/officeDocument/2006/relationships/hyperlink" Target="http://www.cancer.gov/cancertopics/causes-prevention/risk/tobacco/smokeless-fact-sheet" TargetMode="External"/><Relationship Id="rId53" Type="http://schemas.openxmlformats.org/officeDocument/2006/relationships/hyperlink" Target="http://www.kab.org/cigarette-litter-prevention/economic-environmental-impact" TargetMode="External"/><Relationship Id="rId54" Type="http://schemas.openxmlformats.org/officeDocument/2006/relationships/hyperlink" Target="https://oceanconservancy.org/wp-content/uploads/2017/04/2011-Ocean-Conservancy-ICC-Report.pdf" TargetMode="External"/><Relationship Id="rId55" Type="http://schemas.openxmlformats.org/officeDocument/2006/relationships/hyperlink" Target="https://oceanconservancy.org/wp-content/uploads/2017/04/2011-Ocean-Conservancy-ICC-Report.pdf" TargetMode="External"/><Relationship Id="rId56" Type="http://schemas.openxmlformats.org/officeDocument/2006/relationships/hyperlink" Target="http://pediatrics.aappublications.org/content/early/2016/05/05/peds.2016-0041" TargetMode="External"/><Relationship Id="rId57" Type="http://schemas.openxmlformats.org/officeDocument/2006/relationships/hyperlink" Target="http://www.cdc.gov/mmwr/preview/mmwrhtml/00046181.htm" TargetMode="External"/><Relationship Id="rId58" Type="http://schemas.openxmlformats.org/officeDocument/2006/relationships/hyperlink" Target="http://pediatrics.aappublications.org/content/early/2016/05/05/peds.2016-0041" TargetMode="External"/><Relationship Id="rId59" Type="http://schemas.openxmlformats.org/officeDocument/2006/relationships/hyperlink" Target="http://changelabsolutions.org/publications/smokefree-workplaces-inequities" TargetMode="External"/><Relationship Id="rId40" Type="http://schemas.openxmlformats.org/officeDocument/2006/relationships/hyperlink" Target="http://www.ashrae.org/File%20Library/About/Position%20Documents/ASHRAE_PD_Environmental_Tobacco_Smoke_2016.pdf" TargetMode="External"/><Relationship Id="rId41" Type="http://schemas.openxmlformats.org/officeDocument/2006/relationships/hyperlink" Target="https://www.cdph.ca.gov/Programs/CCDPHP/DCDIC/CTCB/CDPH%20Document%20Library/TEROC/InfoGraphicReportsLetters/TEROCECigarettePositionStatement122215.pdf" TargetMode="External"/><Relationship Id="rId42" Type="http://schemas.openxmlformats.org/officeDocument/2006/relationships/hyperlink" Target="https://oehha.ca.gov/proposition-65/proposition-65-list" TargetMode="External"/><Relationship Id="rId43" Type="http://schemas.openxmlformats.org/officeDocument/2006/relationships/hyperlink" Target="https://oehha.ca.gov/media/downloads/proposition-65/chemicals/finalmjsmokehid.pdf" TargetMode="External"/><Relationship Id="rId44" Type="http://schemas.openxmlformats.org/officeDocument/2006/relationships/hyperlink" Target="https://oehha.ca.gov/media/downloads/proposition-65/chemicals/finalmjsmokehid.pdf" TargetMode="External"/><Relationship Id="rId45" Type="http://schemas.openxmlformats.org/officeDocument/2006/relationships/hyperlink" Target="https://www.thecommunityguide.org/findings/tobacco-use-and-secondhand-smoke-exposure-smoke-free-policies" TargetMode="External"/><Relationship Id="rId46" Type="http://schemas.openxmlformats.org/officeDocument/2006/relationships/hyperlink" Target="https://www.thecommunityguide.org/findings/tobacco-use-and-secondhand-smoke-exposure-smoke-free-policies" TargetMode="External"/><Relationship Id="rId47" Type="http://schemas.openxmlformats.org/officeDocument/2006/relationships/hyperlink" Target="https://www.thecommunityguide.org/findings/tobacco-use-and-secondhand-smoke-exposure-smoke-free-policies" TargetMode="External"/><Relationship Id="rId48" Type="http://schemas.openxmlformats.org/officeDocument/2006/relationships/hyperlink" Target="https://www.thecommunityguide.org/findings/tobacco-use-and-secondhand-smoke-exposure-smoke-free-policies" TargetMode="External"/><Relationship Id="rId49" Type="http://schemas.openxmlformats.org/officeDocument/2006/relationships/hyperlink" Target="https://www.thecommunityguide.org/findings/tobacco-use-and-secondhand-smoke-exposure-smoke-free-policies" TargetMode="External"/><Relationship Id="rId1" Type="http://schemas.openxmlformats.org/officeDocument/2006/relationships/hyperlink" Target="http://www.who.int/news-room/fact-sheets/detail/tobacco" TargetMode="External"/><Relationship Id="rId2" Type="http://schemas.openxmlformats.org/officeDocument/2006/relationships/hyperlink" Target="http://www.surgeongeneral.gov/library/reports/50-years-of-progress/exec-summary.pdf" TargetMode="External"/><Relationship Id="rId3" Type="http://schemas.openxmlformats.org/officeDocument/2006/relationships/hyperlink" Target="http://www.surgeongeneral.gov/library/reports/50-years-of-progress/fact-sheet.html" TargetMode="External"/><Relationship Id="rId4" Type="http://schemas.openxmlformats.org/officeDocument/2006/relationships/hyperlink" Target="http://www.surgeongeneral.gov/library/reports/50-years-of-progress/fact-sheet.html" TargetMode="External"/><Relationship Id="rId5" Type="http://schemas.openxmlformats.org/officeDocument/2006/relationships/hyperlink" Target="http://www.surgeongeneral.gov/library/reports/50-years-of-progress/fact-sheet.html" TargetMode="External"/><Relationship Id="rId6" Type="http://schemas.openxmlformats.org/officeDocument/2006/relationships/hyperlink" Target="https://wwwn.cdc.gov/psr/" TargetMode="External"/><Relationship Id="rId7" Type="http://schemas.openxmlformats.org/officeDocument/2006/relationships/hyperlink" Target="http://www.tobaccofreekids.org/problem/toll-us/california" TargetMode="External"/><Relationship Id="rId8" Type="http://schemas.openxmlformats.org/officeDocument/2006/relationships/hyperlink" Target="http://www.tobaccofreekids.org/problem/toll-us/california" TargetMode="External"/><Relationship Id="rId9" Type="http://schemas.openxmlformats.org/officeDocument/2006/relationships/hyperlink" Target="https://cancercontrol.cancer.gov/brp/tcrb/monographs/22/index.html" TargetMode="External"/><Relationship Id="rId30" Type="http://schemas.openxmlformats.org/officeDocument/2006/relationships/hyperlink" Target="https://oehha.ca.gov/proposition-65/proposition-65-list" TargetMode="External"/><Relationship Id="rId31" Type="http://schemas.openxmlformats.org/officeDocument/2006/relationships/hyperlink" Target="http://www.cdph.ca.gov/Programs/CCDPHP/DCDIC/CTCB/CDPH%20Document%20Library/Policy/ElectronicSmokingDevices/StateHealthEcigReport.pdf" TargetMode="External"/><Relationship Id="rId32" Type="http://schemas.openxmlformats.org/officeDocument/2006/relationships/hyperlink" Target="https://e-cigarettes.surgeongeneral.gov/documents/2016_SGR_Full_Report_non-508.pdf" TargetMode="External"/><Relationship Id="rId33" Type="http://schemas.openxmlformats.org/officeDocument/2006/relationships/hyperlink" Target="http://escholarship.org/uc/item/13p2b72n" TargetMode="External"/><Relationship Id="rId34" Type="http://schemas.openxmlformats.org/officeDocument/2006/relationships/hyperlink" Target="http://www.dkfz.de/de/tabakkontrolle/download/Publikationen/RoteReihe/Band_19_e-cigarettes_an_overview.pdf" TargetMode="External"/><Relationship Id="rId35" Type="http://schemas.openxmlformats.org/officeDocument/2006/relationships/hyperlink" Target="https://e-cigarettes.surgeongeneral.gov/documents/2016_SGR_Full_Report_non-508.pdf" TargetMode="External"/><Relationship Id="rId36" Type="http://schemas.openxmlformats.org/officeDocument/2006/relationships/hyperlink" Target="https://e-cigarettes.surgeongeneral.gov/documents/2016_SGR_Full_Report_non-508.pdf" TargetMode="External"/><Relationship Id="rId37" Type="http://schemas.openxmlformats.org/officeDocument/2006/relationships/hyperlink" Target="http://www.dkfz.de/de/tabakkontrolle/download/Publikationen/RoteReihe/Band_19_e-cigarettes_an_overview.pdf" TargetMode="External"/><Relationship Id="rId38" Type="http://schemas.openxmlformats.org/officeDocument/2006/relationships/hyperlink" Target="https://e-cigarettes.surgeongeneral.gov/documents/2016_SGR_Full_Report_non-508.pdf" TargetMode="External"/><Relationship Id="rId39" Type="http://schemas.openxmlformats.org/officeDocument/2006/relationships/hyperlink" Target="https://e-cigarettes.surgeongeneral.gov/documents/2016_SGR_Full_Report_non-508.pdf" TargetMode="External"/><Relationship Id="rId20" Type="http://schemas.openxmlformats.org/officeDocument/2006/relationships/hyperlink" Target="http://www.arb.ca.gov/newsrel/nr012606.htm" TargetMode="External"/><Relationship Id="rId21" Type="http://schemas.openxmlformats.org/officeDocument/2006/relationships/hyperlink" Target="https://oehha.ca.gov/proposition-65/proposition-65-list" TargetMode="External"/><Relationship Id="rId22" Type="http://schemas.openxmlformats.org/officeDocument/2006/relationships/hyperlink" Target="http://www.ashrae.org/File%20Library/About/Position%20Documents/ASHRAE_PD_Environmental_Tobacco_Smoke_2016.pdf" TargetMode="External"/><Relationship Id="rId23" Type="http://schemas.openxmlformats.org/officeDocument/2006/relationships/hyperlink" Target="https://www.tcspartners.org/files.cfm?filesID=58" TargetMode="External"/><Relationship Id="rId24" Type="http://schemas.openxmlformats.org/officeDocument/2006/relationships/hyperlink" Target="https://dx.doi.org/10.1136%2Ftobaccocontrol-2012-050493" TargetMode="External"/><Relationship Id="rId25" Type="http://schemas.openxmlformats.org/officeDocument/2006/relationships/hyperlink" Target="http://exposurescience.org/pub/reports/Outdoor_ETS_Final.pdf" TargetMode="External"/><Relationship Id="rId26" Type="http://schemas.openxmlformats.org/officeDocument/2006/relationships/hyperlink" Target="http://www.repace.com/pdf/Repace_Ch_15_Outdoor_Smoke.pdf" TargetMode="External"/><Relationship Id="rId27" Type="http://schemas.openxmlformats.org/officeDocument/2006/relationships/hyperlink" Target="http://www.cdc.gov/tobacco/data_statistics/fact_sheets/secondhand_smoke/general_facts/index.htm" TargetMode="External"/><Relationship Id="rId28" Type="http://schemas.openxmlformats.org/officeDocument/2006/relationships/hyperlink" Target="http://www.surgeongeneral.gov/library/reports/50-years-of-progress/exec-summary.pdf" TargetMode="External"/><Relationship Id="rId29" Type="http://schemas.openxmlformats.org/officeDocument/2006/relationships/hyperlink" Target="http://www.cdc.gov/vitalsigns/pdf/2015-02-vitalsigns.pdf" TargetMode="External"/><Relationship Id="rId60" Type="http://schemas.openxmlformats.org/officeDocument/2006/relationships/hyperlink" Target="http://center4tobaccopolicy.org/tobacco-policy/smokefree-outdoor-areas/secondhand-smoke-california-voters/" TargetMode="External"/><Relationship Id="rId61" Type="http://schemas.openxmlformats.org/officeDocument/2006/relationships/hyperlink" Target="https://escholarship.org/uc/item/38f3z7zg" TargetMode="External"/><Relationship Id="rId62" Type="http://schemas.openxmlformats.org/officeDocument/2006/relationships/hyperlink" Target="https://center4tobaccopolicy.org/wp-content/uploads/2018/03/Table-of-Comprehensive-Outdoor-Secondhand-Smoke-Ordinances-2018-03-15.pdf" TargetMode="External"/><Relationship Id="rId10" Type="http://schemas.openxmlformats.org/officeDocument/2006/relationships/hyperlink" Target="https://www.cdph.ca.gov/Programs/CCDPHP/DCDIC/CTCB/CDPH%20Document%20Library/ResearchandEvaluation/FactsandFigures/2016FactsFiguresWeb.pdf" TargetMode="External"/><Relationship Id="rId11" Type="http://schemas.openxmlformats.org/officeDocument/2006/relationships/hyperlink" Target="https://www.cdph.ca.gov/Programs/CCDPHP/DCDIC/CTCB/CDPH%20Document%20Library/ResearchandEvaluation/FactsandFigures/2016FactsFiguresWeb.pdf" TargetMode="External"/><Relationship Id="rId12" Type="http://schemas.openxmlformats.org/officeDocument/2006/relationships/hyperlink" Target="https://www.cdph.ca.gov/Programs/CCDPHP/DCDIC/CTCB/CDPH%20Document%20Library/ResearchandEvaluation/FactsandFigures/2016FactsFigures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6923A-27B2-6D4C-9476-90ED68C4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19766</Words>
  <Characters>112669</Characters>
  <Application>Microsoft Macintosh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132171</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cp:lastModifiedBy>Kim Arroyo Williamson</cp:lastModifiedBy>
  <cp:revision>2</cp:revision>
  <cp:lastPrinted>2018-09-11T19:13:00Z</cp:lastPrinted>
  <dcterms:created xsi:type="dcterms:W3CDTF">2018-10-11T18:23:00Z</dcterms:created>
  <dcterms:modified xsi:type="dcterms:W3CDTF">2018-10-11T18:23:00Z</dcterms:modified>
</cp:coreProperties>
</file>