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FC7EC" w14:textId="77777777" w:rsidR="008A3FE9" w:rsidRPr="00B11664" w:rsidRDefault="008A3FE9" w:rsidP="00E51E01">
      <w:pPr>
        <w:pStyle w:val="Heading1"/>
        <w:spacing w:before="240" w:line="480" w:lineRule="auto"/>
        <w:rPr>
          <w:rFonts w:cs="Arial"/>
          <w:sz w:val="32"/>
        </w:rPr>
      </w:pPr>
      <w:r w:rsidRPr="00D338E6">
        <w:rPr>
          <w:rFonts w:cs="Arial"/>
        </w:rPr>
        <w:softHyphen/>
      </w:r>
    </w:p>
    <w:p w14:paraId="6EF58D5C" w14:textId="77777777" w:rsidR="00E51E01" w:rsidRDefault="00A976BF" w:rsidP="00E51E01">
      <w:pPr>
        <w:pStyle w:val="Heading1"/>
        <w:tabs>
          <w:tab w:val="left" w:pos="1980"/>
        </w:tabs>
        <w:spacing w:line="240" w:lineRule="auto"/>
        <w:ind w:left="1800"/>
        <w:rPr>
          <w:rFonts w:ascii="Arial" w:hAnsi="Arial" w:cs="Calibri"/>
          <w:sz w:val="30"/>
          <w:szCs w:val="30"/>
          <w:lang w:bidi="en-US"/>
        </w:rPr>
      </w:pPr>
      <w:r>
        <w:rPr>
          <w:noProof/>
          <w:sz w:val="28"/>
        </w:rPr>
        <mc:AlternateContent>
          <mc:Choice Requires="wps">
            <w:drawing>
              <wp:anchor distT="0" distB="0" distL="114300" distR="114300" simplePos="0" relativeHeight="251657728" behindDoc="0" locked="0" layoutInCell="1" allowOverlap="1" wp14:anchorId="7DA5B705" wp14:editId="596B3BB1">
                <wp:simplePos x="0" y="0"/>
                <wp:positionH relativeFrom="column">
                  <wp:posOffset>-1324610</wp:posOffset>
                </wp:positionH>
                <wp:positionV relativeFrom="paragraph">
                  <wp:posOffset>259080</wp:posOffset>
                </wp:positionV>
                <wp:extent cx="7835265" cy="1943100"/>
                <wp:effectExtent l="0" t="5080" r="4445" b="0"/>
                <wp:wrapTight wrapText="bothSides">
                  <wp:wrapPolygon edited="0">
                    <wp:start x="-26" y="0"/>
                    <wp:lineTo x="-26" y="21402"/>
                    <wp:lineTo x="21600" y="21402"/>
                    <wp:lineTo x="21600" y="0"/>
                    <wp:lineTo x="-26" y="0"/>
                  </wp:wrapPolygon>
                </wp:wrapTight>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19431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926B2" w14:textId="77777777" w:rsidR="00212F4A" w:rsidRPr="00007040" w:rsidRDefault="00212F4A" w:rsidP="00E51E01">
                            <w:pPr>
                              <w:suppressAutoHyphens/>
                              <w:rPr>
                                <w:rFonts w:ascii="Arial" w:hAnsi="Arial"/>
                                <w:color w:val="464847"/>
                                <w:sz w:val="56"/>
                              </w:rPr>
                            </w:pPr>
                          </w:p>
                          <w:p w14:paraId="3DEE69B5" w14:textId="77777777" w:rsidR="00184A59" w:rsidRPr="00A976BF" w:rsidRDefault="00BF67A0" w:rsidP="00A976BF">
                            <w:pPr>
                              <w:tabs>
                                <w:tab w:val="left" w:pos="3150"/>
                                <w:tab w:val="left" w:pos="3510"/>
                              </w:tabs>
                              <w:suppressAutoHyphens/>
                              <w:spacing w:before="240" w:line="680" w:lineRule="exact"/>
                              <w:ind w:left="3510" w:right="999"/>
                              <w:rPr>
                                <w:rFonts w:ascii="Arial" w:hAnsi="Arial"/>
                                <w:b/>
                                <w:color w:val="FFFFFF"/>
                                <w:sz w:val="56"/>
                              </w:rPr>
                            </w:pPr>
                            <w:r w:rsidRPr="00A976BF">
                              <w:rPr>
                                <w:rFonts w:ascii="Arial" w:hAnsi="Arial"/>
                                <w:b/>
                                <w:color w:val="FFFFFF"/>
                                <w:sz w:val="56"/>
                              </w:rPr>
                              <w:t>Under One Roof:</w:t>
                            </w:r>
                          </w:p>
                          <w:p w14:paraId="7E5A2615" w14:textId="77777777" w:rsidR="00184A59" w:rsidRPr="00A976BF" w:rsidRDefault="00BF67A0" w:rsidP="00A976BF">
                            <w:pPr>
                              <w:tabs>
                                <w:tab w:val="left" w:pos="3150"/>
                                <w:tab w:val="left" w:pos="3510"/>
                              </w:tabs>
                              <w:suppressAutoHyphens/>
                              <w:spacing w:before="120" w:line="560" w:lineRule="exact"/>
                              <w:ind w:left="3510" w:right="1719"/>
                              <w:rPr>
                                <w:rFonts w:ascii="Arial" w:hAnsi="Arial"/>
                                <w:b/>
                                <w:color w:val="FFFFFF" w:themeColor="background1"/>
                                <w:sz w:val="44"/>
                              </w:rPr>
                            </w:pPr>
                            <w:r w:rsidRPr="00A976BF">
                              <w:rPr>
                                <w:rFonts w:ascii="Arial" w:hAnsi="Arial"/>
                                <w:b/>
                                <w:color w:val="FFFFFF" w:themeColor="background1"/>
                                <w:sz w:val="44"/>
                              </w:rPr>
                              <w:t xml:space="preserve">Model </w:t>
                            </w:r>
                            <w:r w:rsidRPr="00A976BF">
                              <w:rPr>
                                <w:rFonts w:ascii="Arial" w:hAnsi="Arial"/>
                                <w:b/>
                                <w:bCs/>
                                <w:color w:val="FFFFFF" w:themeColor="background1"/>
                                <w:sz w:val="44"/>
                              </w:rPr>
                              <w:t xml:space="preserve">Healthy Housing Policies for Comprehensive Plans </w:t>
                            </w:r>
                          </w:p>
                          <w:p w14:paraId="6373F1F5" w14:textId="77777777" w:rsidR="00212F4A" w:rsidRPr="00007040" w:rsidRDefault="00212F4A" w:rsidP="00E51E01">
                            <w:pPr>
                              <w:rPr>
                                <w:rFonts w:ascii="Arial" w:hAnsi="Arial"/>
                                <w:color w:val="464847"/>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11" o:spid="_x0000_s1026" type="#_x0000_t202" style="position:absolute;left:0;text-align:left;margin-left:-104.25pt;margin-top:20.4pt;width:616.95pt;height:1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" fillcolor="#00598e" stroked="f">
                <v:fill opacity="46517f"/>
                <v:textbox inset="0,0,0,0">
                  <w:txbxContent>
                    <w:p w:rsidR="00212F4A" w:rsidRPr="00007040" w:rsidRDefault="00212F4A" w:rsidP="00E51E01">
                      <w:pPr>
                        <w:suppressAutoHyphens/>
                        <w:rPr>
                          <w:rFonts w:ascii="Arial" w:hAnsi="Arial"/>
                          <w:color w:val="464847"/>
                          <w:sz w:val="56"/>
                        </w:rPr>
                      </w:pPr>
                    </w:p>
                    <w:p w:rsidR="00184A59" w:rsidRPr="00A976BF" w:rsidRDefault="00BF67A0" w:rsidP="00A976BF">
                      <w:pPr>
                        <w:tabs>
                          <w:tab w:val="left" w:pos="3150"/>
                          <w:tab w:val="left" w:pos="3510"/>
                        </w:tabs>
                        <w:suppressAutoHyphens/>
                        <w:spacing w:before="240" w:line="680" w:lineRule="exact"/>
                        <w:ind w:left="3510" w:right="999"/>
                        <w:rPr>
                          <w:rFonts w:ascii="Arial" w:hAnsi="Arial"/>
                          <w:b/>
                          <w:color w:val="FFFFFF"/>
                          <w:sz w:val="56"/>
                        </w:rPr>
                      </w:pPr>
                      <w:r w:rsidRPr="00A976BF">
                        <w:rPr>
                          <w:rFonts w:ascii="Arial" w:hAnsi="Arial"/>
                          <w:b/>
                          <w:color w:val="FFFFFF"/>
                          <w:sz w:val="56"/>
                        </w:rPr>
                        <w:t>Under One Roof:</w:t>
                      </w:r>
                    </w:p>
                    <w:p w:rsidR="00184A59" w:rsidRPr="00A976BF" w:rsidRDefault="00BF67A0" w:rsidP="00A976BF">
                      <w:pPr>
                        <w:tabs>
                          <w:tab w:val="left" w:pos="3150"/>
                          <w:tab w:val="left" w:pos="3510"/>
                        </w:tabs>
                        <w:suppressAutoHyphens/>
                        <w:spacing w:before="120" w:line="560" w:lineRule="exact"/>
                        <w:ind w:left="3510" w:right="1719"/>
                        <w:rPr>
                          <w:rFonts w:ascii="Arial" w:hAnsi="Arial"/>
                          <w:b/>
                          <w:color w:val="FFFFFF" w:themeColor="background1"/>
                          <w:sz w:val="44"/>
                        </w:rPr>
                      </w:pPr>
                      <w:r w:rsidRPr="00A976BF">
                        <w:rPr>
                          <w:rFonts w:ascii="Arial" w:hAnsi="Arial"/>
                          <w:b/>
                          <w:color w:val="FFFFFF" w:themeColor="background1"/>
                          <w:sz w:val="44"/>
                        </w:rPr>
                        <w:t xml:space="preserve">Model </w:t>
                      </w:r>
                      <w:r w:rsidRPr="00A976BF">
                        <w:rPr>
                          <w:rFonts w:ascii="Arial" w:hAnsi="Arial"/>
                          <w:b/>
                          <w:bCs/>
                          <w:color w:val="FFFFFF" w:themeColor="background1"/>
                          <w:sz w:val="44"/>
                        </w:rPr>
                        <w:t xml:space="preserve">Healthy Housing Policies for Comprehensive Plans </w:t>
                      </w:r>
                    </w:p>
                    <w:p w:rsidR="00212F4A" w:rsidRPr="00007040" w:rsidRDefault="00212F4A" w:rsidP="00E51E01">
                      <w:pPr>
                        <w:rPr>
                          <w:rFonts w:ascii="Arial" w:hAnsi="Arial"/>
                          <w:color w:val="464847"/>
                          <w:sz w:val="56"/>
                        </w:rPr>
                      </w:pPr>
                    </w:p>
                  </w:txbxContent>
                </v:textbox>
                <w10:wrap type="tight"/>
              </v:shape>
            </w:pict>
          </mc:Fallback>
        </mc:AlternateContent>
      </w:r>
    </w:p>
    <w:p w14:paraId="5D3D0073" w14:textId="77777777" w:rsidR="00E51E01" w:rsidRDefault="00E51E01" w:rsidP="00E51E01">
      <w:pPr>
        <w:suppressAutoHyphens/>
      </w:pPr>
    </w:p>
    <w:p w14:paraId="084729B3" w14:textId="77777777" w:rsidR="00E51E01" w:rsidRDefault="00E51E01" w:rsidP="00E51E01">
      <w:pPr>
        <w:pStyle w:val="NormalText"/>
        <w:widowControl/>
        <w:suppressAutoHyphens/>
        <w:ind w:left="1890" w:firstLine="0"/>
      </w:pPr>
    </w:p>
    <w:p w14:paraId="2D177D6A" w14:textId="77777777" w:rsidR="00E51E01" w:rsidRDefault="00E51E01" w:rsidP="00E51E01">
      <w:pPr>
        <w:pStyle w:val="NormalText"/>
        <w:widowControl/>
        <w:suppressAutoHyphens/>
        <w:ind w:left="1890" w:firstLine="0"/>
      </w:pPr>
    </w:p>
    <w:p w14:paraId="793306A0" w14:textId="77777777" w:rsidR="00E51E01" w:rsidRDefault="00E51E01" w:rsidP="00E51E01">
      <w:pPr>
        <w:pStyle w:val="NormalText"/>
        <w:widowControl/>
        <w:suppressAutoHyphens/>
        <w:ind w:left="1890" w:firstLine="0"/>
      </w:pPr>
    </w:p>
    <w:p w14:paraId="35920E07" w14:textId="77777777" w:rsidR="00E51E01" w:rsidRDefault="00E51E01" w:rsidP="00E51E01">
      <w:pPr>
        <w:pStyle w:val="NormalText"/>
        <w:widowControl/>
        <w:suppressAutoHyphens/>
        <w:ind w:left="1890" w:firstLine="0"/>
      </w:pPr>
    </w:p>
    <w:p w14:paraId="3F30FD95" w14:textId="77777777" w:rsidR="00E51E01" w:rsidRDefault="00E51E01" w:rsidP="00E51E01">
      <w:pPr>
        <w:pStyle w:val="NormalText"/>
        <w:widowControl/>
        <w:suppressAutoHyphens/>
        <w:ind w:left="1890" w:firstLine="0"/>
      </w:pPr>
    </w:p>
    <w:p w14:paraId="557D0B34" w14:textId="77777777" w:rsidR="00E51E01" w:rsidRDefault="00E51E01" w:rsidP="00E51E01">
      <w:pPr>
        <w:pStyle w:val="NormalText"/>
        <w:widowControl/>
        <w:suppressAutoHyphens/>
        <w:ind w:left="1890" w:firstLine="0"/>
      </w:pPr>
    </w:p>
    <w:p w14:paraId="3923AE12" w14:textId="77777777" w:rsidR="00E51E01" w:rsidRDefault="00E51E01" w:rsidP="00E51E01">
      <w:pPr>
        <w:pStyle w:val="NormalText"/>
        <w:widowControl/>
        <w:suppressAutoHyphens/>
        <w:ind w:left="1890" w:firstLine="0"/>
      </w:pPr>
    </w:p>
    <w:p w14:paraId="28D9BCC3" w14:textId="77777777" w:rsidR="00E51E01" w:rsidRDefault="00E51E01" w:rsidP="00E51E01">
      <w:pPr>
        <w:pStyle w:val="NormalText"/>
        <w:widowControl/>
        <w:suppressAutoHyphens/>
        <w:ind w:left="1890" w:firstLine="0"/>
      </w:pPr>
    </w:p>
    <w:p w14:paraId="442B3E9C" w14:textId="77777777" w:rsidR="00E51E01" w:rsidRDefault="00E51E01" w:rsidP="00E51E01">
      <w:pPr>
        <w:tabs>
          <w:tab w:val="left" w:pos="1530"/>
          <w:tab w:val="left" w:pos="1980"/>
        </w:tabs>
        <w:suppressAutoHyphens/>
        <w:ind w:left="2250" w:right="10"/>
        <w:rPr>
          <w:sz w:val="20"/>
        </w:rPr>
      </w:pPr>
    </w:p>
    <w:p w14:paraId="4A0DC23C" w14:textId="77777777" w:rsidR="00E51E01" w:rsidRDefault="00E51E01" w:rsidP="00E51E01">
      <w:pPr>
        <w:tabs>
          <w:tab w:val="left" w:pos="1530"/>
          <w:tab w:val="left" w:pos="1980"/>
        </w:tabs>
        <w:suppressAutoHyphens/>
        <w:ind w:left="2250" w:right="10"/>
        <w:rPr>
          <w:sz w:val="20"/>
        </w:rPr>
      </w:pPr>
    </w:p>
    <w:p w14:paraId="0CE1504A" w14:textId="77777777" w:rsidR="00E51E01" w:rsidRDefault="00E51E01" w:rsidP="00E51E01">
      <w:pPr>
        <w:tabs>
          <w:tab w:val="left" w:pos="1530"/>
          <w:tab w:val="left" w:pos="1980"/>
        </w:tabs>
        <w:suppressAutoHyphens/>
        <w:ind w:left="2250" w:right="10"/>
        <w:rPr>
          <w:sz w:val="20"/>
        </w:rPr>
      </w:pPr>
    </w:p>
    <w:p w14:paraId="3AD1EE37" w14:textId="77777777" w:rsidR="00E51E01" w:rsidRDefault="00CC24EA" w:rsidP="00E51E01">
      <w:pPr>
        <w:tabs>
          <w:tab w:val="left" w:pos="1530"/>
          <w:tab w:val="left" w:pos="1980"/>
        </w:tabs>
        <w:suppressAutoHyphens/>
        <w:ind w:left="2250" w:right="10"/>
        <w:rPr>
          <w:sz w:val="20"/>
        </w:rPr>
      </w:pPr>
      <w:r w:rsidRPr="00A976BF">
        <w:rPr>
          <w:rFonts w:ascii="Times" w:hAnsi="Times" w:cs="ACaslon-Italic"/>
          <w:i/>
          <w:iCs/>
          <w:noProof/>
          <w:kern w:val="28"/>
          <w:sz w:val="18"/>
          <w:szCs w:val="16"/>
        </w:rPr>
        <w:drawing>
          <wp:anchor distT="0" distB="0" distL="114300" distR="114300" simplePos="0" relativeHeight="251667968" behindDoc="0" locked="0" layoutInCell="1" allowOverlap="1" wp14:anchorId="01DDDF54" wp14:editId="37CD4DD1">
            <wp:simplePos x="0" y="0"/>
            <wp:positionH relativeFrom="column">
              <wp:posOffset>-1439545</wp:posOffset>
            </wp:positionH>
            <wp:positionV relativeFrom="paragraph">
              <wp:posOffset>-2030095</wp:posOffset>
            </wp:positionV>
            <wp:extent cx="7868920" cy="1125855"/>
            <wp:effectExtent l="25400" t="0" r="5080" b="0"/>
            <wp:wrapNone/>
            <wp:docPr id="6" name="Picture 6" descr="photostr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trip-3.jpg"/>
                    <pic:cNvPicPr/>
                  </pic:nvPicPr>
                  <pic:blipFill>
                    <a:blip r:embed="rId9"/>
                    <a:stretch>
                      <a:fillRect/>
                    </a:stretch>
                  </pic:blipFill>
                  <pic:spPr>
                    <a:xfrm>
                      <a:off x="0" y="0"/>
                      <a:ext cx="7868920" cy="1125855"/>
                    </a:xfrm>
                    <a:prstGeom prst="rect">
                      <a:avLst/>
                    </a:prstGeom>
                  </pic:spPr>
                </pic:pic>
              </a:graphicData>
            </a:graphic>
          </wp:anchor>
        </w:drawing>
      </w:r>
    </w:p>
    <w:p w14:paraId="22AC8AD3" w14:textId="77777777" w:rsidR="00E51E01" w:rsidRDefault="00E51E01" w:rsidP="00E51E01">
      <w:pPr>
        <w:pStyle w:val="nPlancovertext"/>
        <w:tabs>
          <w:tab w:val="left" w:pos="1980"/>
        </w:tabs>
        <w:ind w:left="2250" w:right="10"/>
        <w:rPr>
          <w:sz w:val="28"/>
        </w:rPr>
      </w:pPr>
    </w:p>
    <w:p w14:paraId="50568822" w14:textId="77777777" w:rsidR="00E51E01" w:rsidRDefault="00E51E01" w:rsidP="00E51E01">
      <w:pPr>
        <w:jc w:val="center"/>
        <w:rPr>
          <w:b/>
        </w:rPr>
      </w:pPr>
    </w:p>
    <w:p w14:paraId="22B16522" w14:textId="77777777" w:rsidR="00E51E01" w:rsidRDefault="00E51E01" w:rsidP="00E51E01">
      <w:pPr>
        <w:jc w:val="center"/>
        <w:rPr>
          <w:b/>
        </w:rPr>
      </w:pPr>
    </w:p>
    <w:p w14:paraId="0A818898" w14:textId="77777777" w:rsidR="00E51E01" w:rsidRDefault="00E51E01" w:rsidP="00E51E01">
      <w:pPr>
        <w:jc w:val="center"/>
        <w:rPr>
          <w:b/>
        </w:rPr>
      </w:pPr>
    </w:p>
    <w:p w14:paraId="2661EE63" w14:textId="77777777" w:rsidR="00E51E01" w:rsidRDefault="00E51E01" w:rsidP="00E51E01">
      <w:pPr>
        <w:jc w:val="center"/>
        <w:rPr>
          <w:b/>
        </w:rPr>
      </w:pPr>
    </w:p>
    <w:p w14:paraId="1603042A" w14:textId="77777777" w:rsidR="00E51E01" w:rsidRDefault="00E51E01" w:rsidP="00E51E01">
      <w:pPr>
        <w:jc w:val="center"/>
        <w:rPr>
          <w:b/>
        </w:rPr>
      </w:pPr>
    </w:p>
    <w:p w14:paraId="0CC37B94" w14:textId="77777777" w:rsidR="0086568A" w:rsidRDefault="0086568A" w:rsidP="00E51E01">
      <w:pPr>
        <w:jc w:val="center"/>
        <w:rPr>
          <w:noProof/>
          <w:kern w:val="28"/>
        </w:rPr>
      </w:pPr>
    </w:p>
    <w:p w14:paraId="426898B5" w14:textId="77777777" w:rsidR="00E51E01" w:rsidRDefault="00AF4278" w:rsidP="00E51E01">
      <w:pPr>
        <w:jc w:val="center"/>
        <w:rPr>
          <w:b/>
        </w:rPr>
      </w:pPr>
      <w:r w:rsidRPr="00A976BF">
        <w:rPr>
          <w:noProof/>
          <w:kern w:val="28"/>
        </w:rPr>
        <w:drawing>
          <wp:anchor distT="0" distB="0" distL="114300" distR="114300" simplePos="0" relativeHeight="251666944" behindDoc="0" locked="0" layoutInCell="1" allowOverlap="1" wp14:anchorId="5A2F1C86" wp14:editId="5C662A1A">
            <wp:simplePos x="0" y="0"/>
            <wp:positionH relativeFrom="column">
              <wp:posOffset>1285240</wp:posOffset>
            </wp:positionH>
            <wp:positionV relativeFrom="paragraph">
              <wp:posOffset>6675120</wp:posOffset>
            </wp:positionV>
            <wp:extent cx="5593080" cy="802640"/>
            <wp:effectExtent l="25400" t="0" r="0" b="0"/>
            <wp:wrapNone/>
            <wp:docPr id="5" name="Picture 3" descr="photostr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trip-3.jpg"/>
                    <pic:cNvPicPr/>
                  </pic:nvPicPr>
                  <pic:blipFill>
                    <a:blip r:embed="rId9"/>
                    <a:stretch>
                      <a:fillRect/>
                    </a:stretch>
                  </pic:blipFill>
                  <pic:spPr>
                    <a:xfrm>
                      <a:off x="0" y="0"/>
                      <a:ext cx="5593080" cy="802640"/>
                    </a:xfrm>
                    <a:prstGeom prst="rect">
                      <a:avLst/>
                    </a:prstGeom>
                  </pic:spPr>
                </pic:pic>
              </a:graphicData>
            </a:graphic>
          </wp:anchor>
        </w:drawing>
      </w:r>
    </w:p>
    <w:p w14:paraId="41B73D95" w14:textId="77777777" w:rsidR="00082450" w:rsidRDefault="00082450" w:rsidP="00E51E01">
      <w:pPr>
        <w:jc w:val="center"/>
        <w:rPr>
          <w:b/>
        </w:rPr>
      </w:pPr>
    </w:p>
    <w:p w14:paraId="2DC25133" w14:textId="77777777" w:rsidR="00FF4630" w:rsidRDefault="00FF4630" w:rsidP="00FF4630">
      <w:pPr>
        <w:rPr>
          <w:b/>
        </w:rPr>
      </w:pPr>
    </w:p>
    <w:p w14:paraId="12B1E3BA" w14:textId="77777777" w:rsidR="00184A59" w:rsidRDefault="00184A59" w:rsidP="00A976BF">
      <w:pPr>
        <w:rPr>
          <w:b/>
        </w:rPr>
      </w:pPr>
    </w:p>
    <w:p w14:paraId="4D7A1403" w14:textId="77777777" w:rsidR="00184A59" w:rsidRDefault="00184A59" w:rsidP="00A976BF">
      <w:pPr>
        <w:rPr>
          <w:b/>
        </w:rPr>
      </w:pPr>
    </w:p>
    <w:p w14:paraId="5F5E8ED4" w14:textId="77777777" w:rsidR="00FF4630" w:rsidRDefault="00FF4630">
      <w:pPr>
        <w:spacing w:line="240" w:lineRule="auto"/>
        <w:rPr>
          <w:color w:val="00598D"/>
        </w:rPr>
      </w:pPr>
      <w:r>
        <w:rPr>
          <w:color w:val="00598D"/>
        </w:rPr>
        <w:br w:type="page"/>
      </w:r>
    </w:p>
    <w:p w14:paraId="499A4FC1" w14:textId="77777777" w:rsidR="00184A59" w:rsidRPr="00A976BF" w:rsidRDefault="00A976BF" w:rsidP="00A976BF">
      <w:pPr>
        <w:pStyle w:val="Heading2"/>
        <w:spacing w:after="120"/>
        <w:rPr>
          <w:color w:val="00598D"/>
        </w:rPr>
      </w:pPr>
      <w:r>
        <w:rPr>
          <w:noProof/>
        </w:rPr>
        <w:lastRenderedPageBreak/>
        <mc:AlternateContent>
          <mc:Choice Requires="wps">
            <w:drawing>
              <wp:anchor distT="0" distB="0" distL="114300" distR="114300" simplePos="0" relativeHeight="251668992" behindDoc="0" locked="0" layoutInCell="1" allowOverlap="1" wp14:anchorId="566A1716" wp14:editId="3F04998F">
                <wp:simplePos x="0" y="0"/>
                <wp:positionH relativeFrom="column">
                  <wp:posOffset>3704590</wp:posOffset>
                </wp:positionH>
                <wp:positionV relativeFrom="paragraph">
                  <wp:posOffset>173990</wp:posOffset>
                </wp:positionV>
                <wp:extent cx="2168525" cy="1365250"/>
                <wp:effectExtent l="0" t="0" r="6985" b="10160"/>
                <wp:wrapTight wrapText="bothSides">
                  <wp:wrapPolygon edited="0">
                    <wp:start x="-114" y="0"/>
                    <wp:lineTo x="-114" y="21510"/>
                    <wp:lineTo x="21714" y="21510"/>
                    <wp:lineTo x="21714" y="0"/>
                    <wp:lineTo x="-114" y="0"/>
                  </wp:wrapPolygon>
                </wp:wrapTight>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365250"/>
                        </a:xfrm>
                        <a:prstGeom prst="rect">
                          <a:avLst/>
                        </a:prstGeom>
                        <a:solidFill>
                          <a:srgbClr val="E3EDEF"/>
                        </a:solidFill>
                        <a:ln w="6350">
                          <a:solidFill>
                            <a:schemeClr val="bg1">
                              <a:lumMod val="75000"/>
                              <a:lumOff val="0"/>
                            </a:schemeClr>
                          </a:solidFill>
                          <a:miter lim="800000"/>
                          <a:headEnd/>
                          <a:tailEnd/>
                        </a:ln>
                      </wps:spPr>
                      <wps:txbx>
                        <w:txbxContent>
                          <w:p w14:paraId="56F3A896" w14:textId="77777777" w:rsidR="00184A59" w:rsidRPr="00A976BF" w:rsidRDefault="00BF67A0">
                            <w:pPr>
                              <w:rPr>
                                <w:i/>
                                <w:sz w:val="20"/>
                              </w:rPr>
                            </w:pPr>
                            <w:r w:rsidRPr="00A976BF">
                              <w:rPr>
                                <w:rFonts w:ascii="Arial" w:hAnsi="Arial"/>
                                <w:i/>
                                <w:sz w:val="20"/>
                              </w:rPr>
                              <w:t>Housing is an important determinant of health, and an increasing body of evidence links housing with infectious and chronic disease, injuries, poor nutrition, and mental disorders.</w:t>
                            </w:r>
                            <w:r w:rsidRPr="00A976BF">
                              <w:rPr>
                                <w:rFonts w:ascii="Arial" w:hAnsi="Arial"/>
                                <w:i/>
                                <w:sz w:val="20"/>
                                <w:vertAlign w:val="superscript"/>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27" type="#_x0000_t202" style="position:absolute;margin-left:291.7pt;margin-top:13.7pt;width:170.75pt;height:1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" fillcolor="#e3edef" strokecolor="#bfbfbf [2412]" strokeweight=".5pt">
                <v:textbox inset=",7.2pt,,7.2pt">
                  <w:txbxContent>
                    <w:p w:rsidR="00184A59" w:rsidRPr="00A976BF" w:rsidRDefault="00BF67A0">
                      <w:pPr>
                        <w:rPr>
                          <w:i/>
                          <w:sz w:val="20"/>
                        </w:rPr>
                      </w:pPr>
                      <w:r w:rsidRPr="00A976BF">
                        <w:rPr>
                          <w:rFonts w:ascii="Arial" w:hAnsi="Arial"/>
                          <w:i/>
                          <w:sz w:val="20"/>
                        </w:rPr>
                        <w:t>Housing is an important determinant of health, and an increasing body of evidence links housing with infectious and chronic disease, injuries, poor nutrition, and mental disorders.</w:t>
                      </w:r>
                      <w:r w:rsidRPr="00A976BF">
                        <w:rPr>
                          <w:rFonts w:ascii="Arial" w:hAnsi="Arial"/>
                          <w:i/>
                          <w:sz w:val="20"/>
                          <w:vertAlign w:val="superscript"/>
                        </w:rPr>
                        <w:t>2</w:t>
                      </w:r>
                    </w:p>
                  </w:txbxContent>
                </v:textbox>
                <w10:wrap type="tight"/>
              </v:shape>
            </w:pict>
          </mc:Fallback>
        </mc:AlternateContent>
      </w:r>
      <w:r w:rsidR="00BF67A0" w:rsidRPr="00A976BF">
        <w:rPr>
          <w:color w:val="00598D"/>
        </w:rPr>
        <w:t>Introduction</w:t>
      </w:r>
    </w:p>
    <w:p w14:paraId="3FF278CE" w14:textId="77777777" w:rsidR="00184A59" w:rsidRDefault="00D37048" w:rsidP="00A976BF">
      <w:pPr>
        <w:pStyle w:val="BasicParagraph"/>
      </w:pPr>
      <w:r w:rsidRPr="00B32486">
        <w:t>Health begins well before the doctor’s office</w:t>
      </w:r>
      <w:r>
        <w:t xml:space="preserve"> – it begins </w:t>
      </w:r>
      <w:r w:rsidRPr="00B32486">
        <w:t>in homes, schools, workplaces, neighborhoods, and communities. Research shows these “social determinants of health</w:t>
      </w:r>
      <w:r>
        <w:t>,</w:t>
      </w:r>
      <w:r w:rsidRPr="00B32486">
        <w:t>”</w:t>
      </w:r>
      <w:r>
        <w:t xml:space="preserve"> </w:t>
      </w:r>
      <w:r w:rsidRPr="00B32486">
        <w:t>including environm</w:t>
      </w:r>
      <w:r>
        <w:t xml:space="preserve">ental and socioeconomic factors, </w:t>
      </w:r>
      <w:r w:rsidRPr="00B32486">
        <w:t>explain the majority of how sick or well we will be over our lives.</w:t>
      </w:r>
      <w:r w:rsidR="00BF67A0" w:rsidRPr="00B32486">
        <w:fldChar w:fldCharType="begin" w:fldLock="1"/>
      </w:r>
      <w:r w:rsidRPr="00B32486">
        <w:instrText>ADDIN CSL_CITATION { "citationItems" : [ { "id" : "ITEM-1", "itemData" : { "author" : [ { "dropping-particle" : "", "family" : "McGovern", "given" : "Lauren", "non-dropping-particle" : "", "parse-names" : false, "suffix" : "" }, { "dropping-particle" : "", "family" : "Miller", "given" : "George", "non-dropping-particle" : "", "parse-names" : false, "suffix" : "" }, { "dropping-particle" : "", "family" : "Hughes-Cromwick", "given" : "Paul", "non-dropping-particle" : "", "parse-names" : false, "suffix" : "" } ], "id" : "ITEM-1", "issued" : { "date-parts" : [ [ "2014" ] ] }, "title" : "Health Policy Brief: The Relative Contribution of Multiple Determinants to Health Outcomes", "type" : "report" }, "uris" : [ "http://www.mendeley.com/documents/?uuid=fd192b13-d9d6-43a3-a6a7-51fce1996743" ] } ], "mendeley" : { "formattedCitation" : "&lt;sup&gt;1&lt;/sup&gt;", "plainTextFormattedCitation" : "1", "previouslyFormattedCitation" : "&lt;sup&gt;1&lt;/sup&gt;" }, "properties" : { "noteIndex" : 0 }, "schema" : "https://github.com/citation-style-language/schema/raw/master/csl-citation.json" }</w:instrText>
      </w:r>
      <w:r w:rsidR="00BF67A0" w:rsidRPr="00B32486">
        <w:fldChar w:fldCharType="separate"/>
      </w:r>
      <w:r w:rsidRPr="00B32486">
        <w:rPr>
          <w:noProof/>
          <w:vertAlign w:val="superscript"/>
        </w:rPr>
        <w:t>1</w:t>
      </w:r>
      <w:r w:rsidR="00BF67A0" w:rsidRPr="00B32486">
        <w:fldChar w:fldCharType="end"/>
      </w:r>
      <w:r w:rsidRPr="00B32486">
        <w:t xml:space="preserve"> </w:t>
      </w:r>
    </w:p>
    <w:p w14:paraId="54113A92" w14:textId="77777777" w:rsidR="006D6D22" w:rsidRDefault="006D6D22" w:rsidP="006D6D22">
      <w:pPr>
        <w:rPr>
          <w:rFonts w:ascii="Calibri" w:hAnsi="Calibri"/>
          <w:sz w:val="22"/>
          <w:szCs w:val="22"/>
        </w:rPr>
      </w:pPr>
    </w:p>
    <w:p w14:paraId="3400D4AC" w14:textId="77777777" w:rsidR="004464CE" w:rsidRPr="00B32486" w:rsidRDefault="004464CE" w:rsidP="006D6D22">
      <w:pPr>
        <w:rPr>
          <w:rFonts w:ascii="Calibri" w:hAnsi="Calibri"/>
          <w:sz w:val="22"/>
          <w:szCs w:val="22"/>
        </w:rPr>
      </w:pPr>
    </w:p>
    <w:p w14:paraId="1EEB97F6" w14:textId="77777777" w:rsidR="00184A59" w:rsidRPr="00A976BF" w:rsidRDefault="00BF67A0" w:rsidP="00A976BF">
      <w:pPr>
        <w:pStyle w:val="commentsbox"/>
        <w:pBdr>
          <w:right w:val="single" w:sz="4" w:space="1" w:color="C0C0C0"/>
        </w:pBdr>
        <w:shd w:val="clear" w:color="auto" w:fill="F9EED8"/>
        <w:spacing w:after="120"/>
        <w:rPr>
          <w:b/>
          <w:color w:val="00598D"/>
          <w:sz w:val="18"/>
        </w:rPr>
      </w:pPr>
      <w:r w:rsidRPr="00A976BF">
        <w:rPr>
          <w:b/>
          <w:color w:val="00598D"/>
          <w:sz w:val="18"/>
        </w:rPr>
        <w:t xml:space="preserve">To learn more about the links between housing and health, see: </w:t>
      </w:r>
    </w:p>
    <w:p w14:paraId="4F318B2A" w14:textId="77777777" w:rsidR="00184A59" w:rsidRPr="00A976BF" w:rsidRDefault="00BF67A0" w:rsidP="00A976BF">
      <w:pPr>
        <w:pStyle w:val="commentsbox"/>
        <w:pBdr>
          <w:right w:val="single" w:sz="4" w:space="1" w:color="C0C0C0"/>
        </w:pBdr>
        <w:shd w:val="clear" w:color="auto" w:fill="F9EED8"/>
        <w:rPr>
          <w:rFonts w:ascii="Arial Bold" w:hAnsi="Arial Bold"/>
          <w:sz w:val="18"/>
        </w:rPr>
      </w:pPr>
      <w:r w:rsidRPr="00A976BF">
        <w:rPr>
          <w:rFonts w:ascii="Arial Bold" w:hAnsi="Arial Bold"/>
          <w:sz w:val="18"/>
        </w:rPr>
        <w:t xml:space="preserve">Health Policy Brief: The Relative Contribution of Multiple Determinants to Health Outcomes </w:t>
      </w:r>
    </w:p>
    <w:p w14:paraId="3AB49915"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 xml:space="preserve">Health Affairs </w:t>
      </w:r>
    </w:p>
    <w:p w14:paraId="3D6197C4" w14:textId="77777777" w:rsidR="00184A59" w:rsidRPr="00A976BF" w:rsidRDefault="007B0D74" w:rsidP="00A976BF">
      <w:pPr>
        <w:pStyle w:val="commentsbox"/>
        <w:pBdr>
          <w:right w:val="single" w:sz="4" w:space="1" w:color="C0C0C0"/>
        </w:pBdr>
        <w:shd w:val="clear" w:color="auto" w:fill="F9EED8"/>
        <w:spacing w:after="160"/>
        <w:rPr>
          <w:sz w:val="18"/>
        </w:rPr>
      </w:pPr>
      <w:hyperlink r:id="rId10" w:history="1">
        <w:r w:rsidR="00BF67A0" w:rsidRPr="00A976BF">
          <w:rPr>
            <w:i/>
            <w:color w:val="00598D"/>
            <w:sz w:val="18"/>
          </w:rPr>
          <w:t>www.healthaffairs.org/healthpolicybriefs/brief.php?brief_id=123</w:t>
        </w:r>
      </w:hyperlink>
      <w:r w:rsidR="00BF67A0" w:rsidRPr="00A976BF">
        <w:rPr>
          <w:sz w:val="18"/>
        </w:rPr>
        <w:t xml:space="preserve"> </w:t>
      </w:r>
    </w:p>
    <w:p w14:paraId="64080B93" w14:textId="77777777" w:rsidR="00184A59" w:rsidRPr="00A976BF" w:rsidRDefault="00BF67A0" w:rsidP="00A976BF">
      <w:pPr>
        <w:pStyle w:val="commentsbox"/>
        <w:pBdr>
          <w:right w:val="single" w:sz="4" w:space="1" w:color="C0C0C0"/>
        </w:pBdr>
        <w:shd w:val="clear" w:color="auto" w:fill="F9EED8"/>
        <w:rPr>
          <w:sz w:val="18"/>
        </w:rPr>
      </w:pPr>
      <w:r w:rsidRPr="00A976BF">
        <w:rPr>
          <w:b/>
          <w:sz w:val="18"/>
        </w:rPr>
        <w:t>The Impacts of Affordable Housing on Health: A Research Summary</w:t>
      </w:r>
      <w:r w:rsidRPr="00A976BF">
        <w:rPr>
          <w:sz w:val="18"/>
        </w:rPr>
        <w:t xml:space="preserve"> </w:t>
      </w:r>
    </w:p>
    <w:p w14:paraId="23B0EA49"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 xml:space="preserve">Center for Housing Policy </w:t>
      </w:r>
    </w:p>
    <w:p w14:paraId="5518AADD" w14:textId="77777777" w:rsidR="00184A59" w:rsidRPr="00A976BF" w:rsidRDefault="007B0D74" w:rsidP="00A976BF">
      <w:pPr>
        <w:pStyle w:val="commentsbox"/>
        <w:pBdr>
          <w:right w:val="single" w:sz="4" w:space="1" w:color="C0C0C0"/>
        </w:pBdr>
        <w:shd w:val="clear" w:color="auto" w:fill="F9EED8"/>
        <w:spacing w:after="160"/>
        <w:rPr>
          <w:sz w:val="18"/>
        </w:rPr>
      </w:pPr>
      <w:hyperlink r:id="rId11" w:history="1">
        <w:r w:rsidR="00BF67A0" w:rsidRPr="00A976BF">
          <w:rPr>
            <w:i/>
            <w:color w:val="00598D"/>
            <w:sz w:val="18"/>
          </w:rPr>
          <w:t>www.nhc.org/media/files/Insights_HousingAndHealthBrief.pdf</w:t>
        </w:r>
      </w:hyperlink>
      <w:r w:rsidR="00BF67A0" w:rsidRPr="00A976BF">
        <w:rPr>
          <w:sz w:val="18"/>
        </w:rPr>
        <w:t xml:space="preserve"> </w:t>
      </w:r>
    </w:p>
    <w:p w14:paraId="2E5FD0E7" w14:textId="77777777" w:rsidR="00184A59" w:rsidRPr="00A976BF" w:rsidRDefault="00BF67A0" w:rsidP="00A976BF">
      <w:pPr>
        <w:pStyle w:val="commentsbox"/>
        <w:pBdr>
          <w:right w:val="single" w:sz="4" w:space="1" w:color="C0C0C0"/>
        </w:pBdr>
        <w:shd w:val="clear" w:color="auto" w:fill="F9EED8"/>
        <w:rPr>
          <w:sz w:val="18"/>
        </w:rPr>
      </w:pPr>
      <w:r w:rsidRPr="00A976BF">
        <w:rPr>
          <w:b/>
          <w:sz w:val="18"/>
        </w:rPr>
        <w:t>Issue Brief: Housing and Health</w:t>
      </w:r>
      <w:r w:rsidRPr="00A976BF">
        <w:rPr>
          <w:sz w:val="18"/>
        </w:rPr>
        <w:t xml:space="preserve"> </w:t>
      </w:r>
    </w:p>
    <w:p w14:paraId="2CDE07FC"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Robert Wood Johnson Foundation</w:t>
      </w:r>
    </w:p>
    <w:p w14:paraId="5CE50EC2" w14:textId="77777777" w:rsidR="00184A59" w:rsidRPr="00A976BF" w:rsidRDefault="007B0D74" w:rsidP="00A976BF">
      <w:pPr>
        <w:pStyle w:val="commentsbox"/>
        <w:pBdr>
          <w:right w:val="single" w:sz="4" w:space="1" w:color="C0C0C0"/>
        </w:pBdr>
        <w:shd w:val="clear" w:color="auto" w:fill="F9EED8"/>
        <w:spacing w:after="160"/>
        <w:rPr>
          <w:sz w:val="18"/>
        </w:rPr>
      </w:pPr>
      <w:hyperlink r:id="rId12" w:history="1">
        <w:r w:rsidR="00BF67A0" w:rsidRPr="00A976BF">
          <w:rPr>
            <w:i/>
            <w:color w:val="00598D"/>
            <w:sz w:val="18"/>
          </w:rPr>
          <w:t>www.rwjf.org/content/dam/farm/reports/issue_briefs/2011/rwjf70451</w:t>
        </w:r>
      </w:hyperlink>
      <w:r w:rsidR="00BF67A0" w:rsidRPr="00A976BF">
        <w:rPr>
          <w:sz w:val="18"/>
        </w:rPr>
        <w:t xml:space="preserve"> </w:t>
      </w:r>
    </w:p>
    <w:p w14:paraId="5A741BDD" w14:textId="77777777" w:rsidR="00184A59" w:rsidRPr="00A976BF" w:rsidRDefault="00BF67A0" w:rsidP="00A976BF">
      <w:pPr>
        <w:pStyle w:val="commentsbox"/>
        <w:pBdr>
          <w:right w:val="single" w:sz="4" w:space="1" w:color="C0C0C0"/>
        </w:pBdr>
        <w:shd w:val="clear" w:color="auto" w:fill="F9EED8"/>
        <w:rPr>
          <w:sz w:val="18"/>
        </w:rPr>
      </w:pPr>
      <w:r w:rsidRPr="00A976BF">
        <w:rPr>
          <w:b/>
          <w:sz w:val="18"/>
        </w:rPr>
        <w:t>Housing and Health: New Opportunities for Dialogue and Action</w:t>
      </w:r>
    </w:p>
    <w:p w14:paraId="335DE300"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 xml:space="preserve">National Center for Healthy Housing, in partnership with Center for Housing Policy, </w:t>
      </w:r>
      <w:proofErr w:type="spellStart"/>
      <w:r w:rsidRPr="00A976BF">
        <w:rPr>
          <w:sz w:val="18"/>
        </w:rPr>
        <w:t>ChangeLab</w:t>
      </w:r>
      <w:proofErr w:type="spellEnd"/>
      <w:r w:rsidRPr="00A976BF">
        <w:rPr>
          <w:sz w:val="18"/>
        </w:rPr>
        <w:t xml:space="preserve"> Solutions, and Trust for America’s Health</w:t>
      </w:r>
    </w:p>
    <w:p w14:paraId="33DA3830" w14:textId="77777777" w:rsidR="00184A59" w:rsidRPr="00A976BF" w:rsidRDefault="007B0D74" w:rsidP="00A976BF">
      <w:pPr>
        <w:pStyle w:val="commentsbox"/>
        <w:pBdr>
          <w:right w:val="single" w:sz="4" w:space="1" w:color="C0C0C0"/>
        </w:pBdr>
        <w:shd w:val="clear" w:color="auto" w:fill="F9EED8"/>
        <w:spacing w:after="160"/>
        <w:rPr>
          <w:sz w:val="18"/>
        </w:rPr>
      </w:pPr>
      <w:hyperlink r:id="rId13" w:history="1">
        <w:r w:rsidR="00BF67A0" w:rsidRPr="00A976BF">
          <w:rPr>
            <w:i/>
            <w:color w:val="00598D"/>
            <w:sz w:val="18"/>
          </w:rPr>
          <w:t>www.changelabsolutions.org/publications/housing-and-health</w:t>
        </w:r>
      </w:hyperlink>
    </w:p>
    <w:p w14:paraId="55AA6453" w14:textId="77777777" w:rsidR="00184A59" w:rsidRPr="00A976BF" w:rsidRDefault="00BF67A0" w:rsidP="00A976BF">
      <w:pPr>
        <w:pStyle w:val="commentsbox"/>
        <w:pBdr>
          <w:right w:val="single" w:sz="4" w:space="1" w:color="C0C0C0"/>
        </w:pBdr>
        <w:shd w:val="clear" w:color="auto" w:fill="F9EED8"/>
        <w:rPr>
          <w:sz w:val="18"/>
        </w:rPr>
      </w:pPr>
      <w:r w:rsidRPr="00A976BF">
        <w:rPr>
          <w:b/>
          <w:sz w:val="18"/>
        </w:rPr>
        <w:t>Housing is Health Care</w:t>
      </w:r>
      <w:r w:rsidRPr="00A976BF">
        <w:rPr>
          <w:sz w:val="18"/>
        </w:rPr>
        <w:t xml:space="preserve"> </w:t>
      </w:r>
    </w:p>
    <w:p w14:paraId="04D7AAA8"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National Health Care for the Homeless Council</w:t>
      </w:r>
      <w:r w:rsidRPr="00A976BF">
        <w:rPr>
          <w:i/>
          <w:color w:val="00598D"/>
          <w:sz w:val="18"/>
        </w:rPr>
        <w:t xml:space="preserve"> </w:t>
      </w:r>
    </w:p>
    <w:p w14:paraId="60BAB516" w14:textId="77777777" w:rsidR="00184A59" w:rsidRPr="00A976BF" w:rsidRDefault="007B0D74" w:rsidP="00A976BF">
      <w:pPr>
        <w:pStyle w:val="commentsbox"/>
        <w:pBdr>
          <w:right w:val="single" w:sz="4" w:space="1" w:color="C0C0C0"/>
        </w:pBdr>
        <w:shd w:val="clear" w:color="auto" w:fill="F9EED8"/>
        <w:spacing w:after="160"/>
        <w:rPr>
          <w:sz w:val="18"/>
        </w:rPr>
      </w:pPr>
      <w:hyperlink r:id="rId14" w:history="1">
        <w:r w:rsidR="00BF67A0" w:rsidRPr="00A976BF">
          <w:rPr>
            <w:i/>
            <w:color w:val="00598D"/>
            <w:sz w:val="18"/>
          </w:rPr>
          <w:t>www.nhchc.org/wp-content/uploads/2011/10/Housing-is-Health-Care.pdf</w:t>
        </w:r>
      </w:hyperlink>
      <w:r w:rsidR="00BF67A0" w:rsidRPr="00A976BF">
        <w:rPr>
          <w:sz w:val="18"/>
        </w:rPr>
        <w:t xml:space="preserve"> </w:t>
      </w:r>
    </w:p>
    <w:p w14:paraId="75C206D3" w14:textId="77777777" w:rsidR="00184A59" w:rsidRPr="00A976BF" w:rsidRDefault="00BF67A0" w:rsidP="00A976BF">
      <w:pPr>
        <w:pStyle w:val="commentsbox"/>
        <w:pBdr>
          <w:right w:val="single" w:sz="4" w:space="1" w:color="C0C0C0"/>
        </w:pBdr>
        <w:shd w:val="clear" w:color="auto" w:fill="F9EED8"/>
        <w:rPr>
          <w:sz w:val="18"/>
        </w:rPr>
      </w:pPr>
      <w:r w:rsidRPr="00A976BF">
        <w:rPr>
          <w:b/>
          <w:sz w:val="18"/>
        </w:rPr>
        <w:t>Impact of Affordable Housing on Families and Communities: A Review of the Evidence</w:t>
      </w:r>
      <w:r w:rsidRPr="00A976BF">
        <w:rPr>
          <w:sz w:val="18"/>
        </w:rPr>
        <w:t xml:space="preserve"> </w:t>
      </w:r>
    </w:p>
    <w:p w14:paraId="2F8CB3D4"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Enterprise Community Partners</w:t>
      </w:r>
    </w:p>
    <w:p w14:paraId="43DBAA80" w14:textId="77777777" w:rsidR="00184A59" w:rsidRPr="00A976BF" w:rsidRDefault="007B0D74" w:rsidP="00A976BF">
      <w:pPr>
        <w:pStyle w:val="commentsbox"/>
        <w:pBdr>
          <w:right w:val="single" w:sz="4" w:space="1" w:color="C0C0C0"/>
        </w:pBdr>
        <w:shd w:val="clear" w:color="auto" w:fill="F9EED8"/>
        <w:spacing w:after="160"/>
        <w:rPr>
          <w:sz w:val="18"/>
        </w:rPr>
      </w:pPr>
      <w:hyperlink r:id="rId15" w:history="1">
        <w:r w:rsidR="00BF67A0" w:rsidRPr="00A976BF">
          <w:rPr>
            <w:i/>
            <w:color w:val="00598D"/>
            <w:sz w:val="18"/>
          </w:rPr>
          <w:t>www.enterprisecommunity.com/resources/ResourceDetails?ID=0093581</w:t>
        </w:r>
      </w:hyperlink>
    </w:p>
    <w:p w14:paraId="5D28CC36" w14:textId="77777777" w:rsidR="00184A59" w:rsidRPr="00A976BF" w:rsidRDefault="00BF67A0" w:rsidP="00A976BF">
      <w:pPr>
        <w:pStyle w:val="commentsbox"/>
        <w:pBdr>
          <w:right w:val="single" w:sz="4" w:space="1" w:color="C0C0C0"/>
        </w:pBdr>
        <w:shd w:val="clear" w:color="auto" w:fill="F9EED8"/>
        <w:rPr>
          <w:b/>
          <w:sz w:val="18"/>
        </w:rPr>
      </w:pPr>
      <w:r w:rsidRPr="00A976BF">
        <w:rPr>
          <w:b/>
          <w:sz w:val="18"/>
        </w:rPr>
        <w:t>Framing the Issues</w:t>
      </w:r>
      <w:r w:rsidR="00AD707B">
        <w:rPr>
          <w:b/>
          <w:sz w:val="18"/>
        </w:rPr>
        <w:t xml:space="preserve"> – </w:t>
      </w:r>
      <w:r w:rsidRPr="00A976BF">
        <w:rPr>
          <w:b/>
          <w:sz w:val="18"/>
        </w:rPr>
        <w:t>the Positive Impacts of Affordable Housing on Health</w:t>
      </w:r>
    </w:p>
    <w:p w14:paraId="012F1A0C" w14:textId="77777777" w:rsidR="00184A59" w:rsidRPr="00A976BF" w:rsidRDefault="00BF67A0" w:rsidP="00A976BF">
      <w:pPr>
        <w:pStyle w:val="commentsbox"/>
        <w:pBdr>
          <w:right w:val="single" w:sz="4" w:space="1" w:color="C0C0C0"/>
        </w:pBdr>
        <w:shd w:val="clear" w:color="auto" w:fill="F9EED8"/>
        <w:rPr>
          <w:sz w:val="18"/>
        </w:rPr>
      </w:pPr>
      <w:r w:rsidRPr="00A976BF">
        <w:rPr>
          <w:sz w:val="18"/>
        </w:rPr>
        <w:t>Center for Housing and Policy</w:t>
      </w:r>
    </w:p>
    <w:p w14:paraId="0706FD74" w14:textId="77777777" w:rsidR="00184A59" w:rsidRPr="00A976BF" w:rsidRDefault="007B0D74" w:rsidP="00A976BF">
      <w:pPr>
        <w:pStyle w:val="commentsbox"/>
        <w:pBdr>
          <w:right w:val="single" w:sz="4" w:space="1" w:color="C0C0C0"/>
        </w:pBdr>
        <w:shd w:val="clear" w:color="auto" w:fill="F9EED8"/>
        <w:spacing w:after="160"/>
        <w:rPr>
          <w:sz w:val="18"/>
        </w:rPr>
      </w:pPr>
      <w:hyperlink r:id="rId16" w:history="1">
        <w:r w:rsidR="00BF67A0" w:rsidRPr="00A976BF">
          <w:rPr>
            <w:i/>
            <w:color w:val="00598D"/>
            <w:sz w:val="18"/>
          </w:rPr>
          <w:t>www.nhc.org/media/documents/FramingIssues_Heath.pdf</w:t>
        </w:r>
      </w:hyperlink>
    </w:p>
    <w:p w14:paraId="3235FC5F" w14:textId="77777777" w:rsidR="00184A59" w:rsidRPr="00A976BF" w:rsidRDefault="00BF67A0" w:rsidP="00A976BF">
      <w:pPr>
        <w:pStyle w:val="commentsbox"/>
        <w:pBdr>
          <w:right w:val="single" w:sz="4" w:space="1" w:color="C0C0C0"/>
        </w:pBdr>
        <w:shd w:val="clear" w:color="auto" w:fill="F9EED8"/>
        <w:rPr>
          <w:b/>
          <w:sz w:val="18"/>
        </w:rPr>
      </w:pPr>
      <w:r w:rsidRPr="00A976BF">
        <w:rPr>
          <w:b/>
          <w:sz w:val="18"/>
        </w:rPr>
        <w:t>Where We Live Matters for Our Health: The Links Between Housing and Health</w:t>
      </w:r>
      <w:r w:rsidRPr="00A976BF">
        <w:rPr>
          <w:sz w:val="18"/>
        </w:rPr>
        <w:t xml:space="preserve"> </w:t>
      </w:r>
    </w:p>
    <w:p w14:paraId="5C1F9473" w14:textId="77777777" w:rsidR="00184A59" w:rsidRDefault="00BF67A0" w:rsidP="00A976BF">
      <w:pPr>
        <w:pStyle w:val="commentsbox"/>
        <w:pBdr>
          <w:right w:val="single" w:sz="4" w:space="1" w:color="C0C0C0"/>
        </w:pBdr>
        <w:shd w:val="clear" w:color="auto" w:fill="F9EED8"/>
        <w:rPr>
          <w:sz w:val="18"/>
        </w:rPr>
      </w:pPr>
      <w:r w:rsidRPr="00A976BF">
        <w:rPr>
          <w:sz w:val="18"/>
        </w:rPr>
        <w:t>Robert Wood Johnson Foundation Commission to Build a Healthier America</w:t>
      </w:r>
    </w:p>
    <w:p w14:paraId="428EF05B" w14:textId="77777777" w:rsidR="00184A59" w:rsidRDefault="00BE2F09" w:rsidP="00A976BF">
      <w:pPr>
        <w:pStyle w:val="commentsbox"/>
        <w:pBdr>
          <w:right w:val="single" w:sz="4" w:space="1" w:color="C0C0C0"/>
        </w:pBdr>
        <w:shd w:val="clear" w:color="auto" w:fill="F9EED8"/>
        <w:spacing w:after="120"/>
      </w:pPr>
      <w:r w:rsidRPr="00BE2F09">
        <w:rPr>
          <w:i/>
          <w:color w:val="00598D"/>
          <w:sz w:val="18"/>
        </w:rPr>
        <w:t>http://tinyurl.com/oh4w7yy</w:t>
      </w:r>
    </w:p>
    <w:p w14:paraId="00A7BCDD" w14:textId="77777777" w:rsidR="00D37048" w:rsidRDefault="00D37048" w:rsidP="00D37048">
      <w:pPr>
        <w:rPr>
          <w:rFonts w:ascii="Calibri" w:hAnsi="Calibri"/>
          <w:sz w:val="22"/>
          <w:szCs w:val="22"/>
        </w:rPr>
      </w:pPr>
    </w:p>
    <w:p w14:paraId="3E0509AE" w14:textId="77777777" w:rsidR="00BE2F09" w:rsidRPr="00B32486" w:rsidRDefault="00BE2F09" w:rsidP="00D37048">
      <w:pPr>
        <w:rPr>
          <w:rFonts w:ascii="Calibri" w:hAnsi="Calibri"/>
          <w:sz w:val="22"/>
          <w:szCs w:val="22"/>
        </w:rPr>
      </w:pPr>
    </w:p>
    <w:p w14:paraId="6251362C" w14:textId="77777777" w:rsidR="00973DF0" w:rsidRDefault="00973DF0" w:rsidP="00D37048">
      <w:pPr>
        <w:pStyle w:val="BasicParagraph"/>
      </w:pPr>
    </w:p>
    <w:p w14:paraId="609812BE" w14:textId="77777777" w:rsidR="00644823" w:rsidRDefault="00644823">
      <w:pPr>
        <w:spacing w:line="240" w:lineRule="auto"/>
        <w:rPr>
          <w:rFonts w:cs="Times-Roman"/>
          <w:color w:val="000000"/>
          <w:lang w:bidi="en-US"/>
        </w:rPr>
      </w:pPr>
      <w:r>
        <w:br w:type="page"/>
      </w:r>
    </w:p>
    <w:p w14:paraId="4513FE48" w14:textId="77777777" w:rsidR="00184A59" w:rsidRPr="00A976BF" w:rsidRDefault="00644823" w:rsidP="00A976BF">
      <w:pPr>
        <w:pStyle w:val="BasicParagraph"/>
        <w:rPr>
          <w:color w:val="D63D25"/>
        </w:rPr>
      </w:pPr>
      <w:r>
        <w:rPr>
          <w:noProof/>
          <w:lang w:bidi="ar-SA"/>
        </w:rPr>
        <w:lastRenderedPageBreak/>
        <mc:AlternateContent>
          <mc:Choice Requires="wps">
            <w:drawing>
              <wp:anchor distT="0" distB="0" distL="114300" distR="114300" simplePos="0" relativeHeight="251660800" behindDoc="0" locked="0" layoutInCell="1" allowOverlap="1" wp14:anchorId="2E83D260" wp14:editId="122A7509">
                <wp:simplePos x="0" y="0"/>
                <wp:positionH relativeFrom="column">
                  <wp:posOffset>3704590</wp:posOffset>
                </wp:positionH>
                <wp:positionV relativeFrom="paragraph">
                  <wp:posOffset>120650</wp:posOffset>
                </wp:positionV>
                <wp:extent cx="2282825" cy="1482725"/>
                <wp:effectExtent l="0" t="0" r="28575" b="15875"/>
                <wp:wrapTight wrapText="bothSides">
                  <wp:wrapPolygon edited="0">
                    <wp:start x="0" y="0"/>
                    <wp:lineTo x="0" y="21461"/>
                    <wp:lineTo x="21630" y="21461"/>
                    <wp:lineTo x="21630" y="0"/>
                    <wp:lineTo x="0" y="0"/>
                  </wp:wrapPolygon>
                </wp:wrapTight>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482725"/>
                        </a:xfrm>
                        <a:prstGeom prst="rect">
                          <a:avLst/>
                        </a:prstGeom>
                        <a:solidFill>
                          <a:srgbClr val="E3EDEF"/>
                        </a:solidFill>
                        <a:ln w="6350">
                          <a:solidFill>
                            <a:schemeClr val="bg1">
                              <a:lumMod val="75000"/>
                              <a:lumOff val="0"/>
                            </a:schemeClr>
                          </a:solidFill>
                          <a:miter lim="800000"/>
                          <a:headEnd/>
                          <a:tailEnd/>
                        </a:ln>
                      </wps:spPr>
                      <wps:txbx>
                        <w:txbxContent>
                          <w:p w14:paraId="37226A84" w14:textId="77777777" w:rsidR="00184A59" w:rsidRPr="00A976BF" w:rsidRDefault="00BF67A0" w:rsidP="00A976BF">
                            <w:pPr>
                              <w:rPr>
                                <w:i/>
                              </w:rPr>
                            </w:pPr>
                            <w:r w:rsidRPr="00A976BF">
                              <w:rPr>
                                <w:rFonts w:ascii="Arial" w:hAnsi="Arial"/>
                                <w:i/>
                                <w:sz w:val="20"/>
                              </w:rPr>
                              <w:t>Planning for healthy housing should include policies that address engaging residents, building healthy homes, providing equitable housing opportunities for all residents, and creating healthy neighborhoods where communities can thrive.</w:t>
                            </w:r>
                          </w:p>
                          <w:p w14:paraId="3E5D170E" w14:textId="77777777" w:rsidR="00184A59" w:rsidRDefault="00184A59" w:rsidP="00A976BF">
                            <w:pPr>
                              <w:spacing w:line="340" w:lineRule="exac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28" type="#_x0000_t202" style="position:absolute;margin-left:291.7pt;margin-top:9.5pt;width:179.75pt;height:11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" fillcolor="#e3edef" strokecolor="#bfbfbf [2412]" strokeweight=".5pt">
                <v:textbox inset=",7.2pt,,7.2pt">
                  <w:txbxContent>
                    <w:p w:rsidR="00184A59" w:rsidRPr="00A976BF" w:rsidRDefault="00BF67A0" w:rsidP="00A976BF">
                      <w:pPr>
                        <w:rPr>
                          <w:i/>
                        </w:rPr>
                      </w:pPr>
                      <w:r w:rsidRPr="00A976BF">
                        <w:rPr>
                          <w:rFonts w:ascii="Arial" w:hAnsi="Arial"/>
                          <w:i/>
                          <w:sz w:val="20"/>
                        </w:rPr>
                        <w:t>Planning for healthy housing should include policies that address engaging residents, building healthy homes, providing equitable housing opportunities for all residents, and creating healthy neighborhoods where communities can thrive.</w:t>
                      </w:r>
                    </w:p>
                    <w:p w:rsidR="00184A59" w:rsidRDefault="00184A59" w:rsidP="00A976BF">
                      <w:pPr>
                        <w:spacing w:line="340" w:lineRule="exact"/>
                      </w:pPr>
                    </w:p>
                  </w:txbxContent>
                </v:textbox>
                <w10:wrap type="tight"/>
              </v:shape>
            </w:pict>
          </mc:Fallback>
        </mc:AlternateContent>
      </w:r>
      <w:r w:rsidR="00D37048" w:rsidRPr="00B32486">
        <w:t>One way to ensure housing contributes to positive health for all residents is to develop and implement local plans and policies</w:t>
      </w:r>
      <w:r w:rsidR="00D37048">
        <w:t xml:space="preserve"> </w:t>
      </w:r>
      <w:r w:rsidR="00D37048" w:rsidRPr="00B32486">
        <w:t>that take health into account.</w:t>
      </w:r>
      <w:r w:rsidR="004464CE">
        <w:t xml:space="preserve"> </w:t>
      </w:r>
      <w:r w:rsidR="00BF67A0" w:rsidRPr="00A976BF">
        <w:t xml:space="preserve">The model comprehensive plan policies included here were drafted to provide communities with ideas and inspiration for planning for healthy housing for all. They include best practices culled from across the U.S., as well as new ideas. We encourage you to contact us at </w:t>
      </w:r>
      <w:hyperlink r:id="rId17" w:history="1">
        <w:r w:rsidR="00BF67A0" w:rsidRPr="00A976BF">
          <w:rPr>
            <w:i/>
            <w:color w:val="00598D"/>
          </w:rPr>
          <w:t>www.changelabsolutions.org/healthy-housing</w:t>
        </w:r>
      </w:hyperlink>
      <w:r w:rsidR="00BF67A0" w:rsidRPr="00A976BF">
        <w:t xml:space="preserve"> for more healthy housing policy ideas, or to share your community’s questions and stories.</w:t>
      </w:r>
    </w:p>
    <w:p w14:paraId="2B0EE247" w14:textId="77777777" w:rsidR="00D37048" w:rsidRPr="00B32486" w:rsidRDefault="00D37048" w:rsidP="00D37048">
      <w:pPr>
        <w:pStyle w:val="Body"/>
        <w:spacing w:after="0" w:line="240" w:lineRule="auto"/>
      </w:pPr>
    </w:p>
    <w:p w14:paraId="750B9AA0" w14:textId="77777777" w:rsidR="00184A59" w:rsidRPr="00A976BF" w:rsidRDefault="00BF67A0" w:rsidP="00A976BF">
      <w:pPr>
        <w:pStyle w:val="Heading3"/>
      </w:pPr>
      <w:r w:rsidRPr="00A976BF">
        <w:t>What is a Comprehensive Plan?</w:t>
      </w:r>
    </w:p>
    <w:p w14:paraId="5937EE59" w14:textId="77777777" w:rsidR="00184A59" w:rsidRDefault="00D37048" w:rsidP="00A976BF">
      <w:pPr>
        <w:pStyle w:val="BasicParagraph"/>
      </w:pPr>
      <w:r w:rsidRPr="00B32486">
        <w:t xml:space="preserve">A comprehensive plan is a broad </w:t>
      </w:r>
      <w:r>
        <w:t xml:space="preserve">policy </w:t>
      </w:r>
      <w:r w:rsidRPr="00B32486">
        <w:t>framework that</w:t>
      </w:r>
      <w:r>
        <w:t xml:space="preserve"> establishes</w:t>
      </w:r>
      <w:r w:rsidRPr="00B32486">
        <w:t xml:space="preserve"> a community’s vision, goals</w:t>
      </w:r>
      <w:r>
        <w:t>,</w:t>
      </w:r>
      <w:r w:rsidRPr="00B32486">
        <w:t xml:space="preserve"> and strategies for future development</w:t>
      </w:r>
      <w:r>
        <w:t xml:space="preserve"> and growth</w:t>
      </w:r>
      <w:r w:rsidRPr="00B32486">
        <w:t xml:space="preserve">. Comprehensive plans </w:t>
      </w:r>
      <w:r>
        <w:t>address</w:t>
      </w:r>
      <w:r w:rsidRPr="00B32486">
        <w:t xml:space="preserve"> a range of important community issues, such as: land use, circulation, noise, safety, health, economic development, growth management, parks and recreation, natural resources and conservation, transportation, and public facilities.</w:t>
      </w:r>
    </w:p>
    <w:p w14:paraId="51BFC0D8" w14:textId="77777777" w:rsidR="00184A59" w:rsidRDefault="00184A59" w:rsidP="00A976BF">
      <w:pPr>
        <w:pStyle w:val="BasicParagraph"/>
      </w:pPr>
    </w:p>
    <w:p w14:paraId="4456099E" w14:textId="6761A07D" w:rsidR="00184A59" w:rsidRPr="00A976BF" w:rsidRDefault="00BF67A0" w:rsidP="00A976BF">
      <w:pPr>
        <w:pStyle w:val="BasicParagraph"/>
        <w:rPr>
          <w:spacing w:val="-2"/>
        </w:rPr>
      </w:pPr>
      <w:r w:rsidRPr="00A976BF">
        <w:rPr>
          <w:spacing w:val="-2"/>
        </w:rPr>
        <w:t xml:space="preserve">Comprehensive plans have different names in different states and regions, and are sometimes called </w:t>
      </w:r>
      <w:r w:rsidR="007B0D74" w:rsidRPr="00B32486">
        <w:t>comprehensive</w:t>
      </w:r>
      <w:r w:rsidR="007B0D74" w:rsidRPr="00A976BF">
        <w:rPr>
          <w:spacing w:val="-2"/>
        </w:rPr>
        <w:t xml:space="preserve"> </w:t>
      </w:r>
      <w:r w:rsidRPr="00A976BF">
        <w:rPr>
          <w:spacing w:val="-2"/>
        </w:rPr>
        <w:t xml:space="preserve">plans, master plans, specific plans, or community plans. For simplicity’s sake, we refer to them as “comprehensive plans,” but local terminology may vary. States also vary in how they view the legal weight or status of comprehensive plans. In some states, plans carry the weight of law; in others, they are guidance documents. Many states establish specific topics, or “elements,” that a plan must address, and housing is often one of these required elements. Some states prescribe schedules for regular updates, while others may leave updates to the discretion of local jurisdictions. </w:t>
      </w:r>
    </w:p>
    <w:p w14:paraId="33BBC27F" w14:textId="77777777" w:rsidR="00184A59" w:rsidRDefault="00184A59" w:rsidP="00A976BF">
      <w:pPr>
        <w:pStyle w:val="BasicParagraph"/>
      </w:pPr>
    </w:p>
    <w:p w14:paraId="452162A5" w14:textId="77777777" w:rsidR="00184A59" w:rsidRDefault="00A976BF" w:rsidP="00A976BF">
      <w:pPr>
        <w:pStyle w:val="BasicParagraph"/>
      </w:pPr>
      <w:r>
        <w:rPr>
          <w:noProof/>
          <w:lang w:bidi="ar-SA"/>
        </w:rPr>
        <mc:AlternateContent>
          <mc:Choice Requires="wps">
            <w:drawing>
              <wp:anchor distT="0" distB="0" distL="114300" distR="114300" simplePos="0" relativeHeight="251661824" behindDoc="0" locked="0" layoutInCell="1" allowOverlap="1" wp14:anchorId="01D88AAD" wp14:editId="6B4CCF5C">
                <wp:simplePos x="0" y="0"/>
                <wp:positionH relativeFrom="column">
                  <wp:posOffset>-753110</wp:posOffset>
                </wp:positionH>
                <wp:positionV relativeFrom="paragraph">
                  <wp:posOffset>17780</wp:posOffset>
                </wp:positionV>
                <wp:extent cx="2511425" cy="1711325"/>
                <wp:effectExtent l="0" t="5080" r="6985" b="10795"/>
                <wp:wrapTight wrapText="bothSides">
                  <wp:wrapPolygon edited="0">
                    <wp:start x="-115" y="0"/>
                    <wp:lineTo x="-115" y="21512"/>
                    <wp:lineTo x="21715" y="21512"/>
                    <wp:lineTo x="21715" y="0"/>
                    <wp:lineTo x="-115" y="0"/>
                  </wp:wrapPolygon>
                </wp:wrapTight>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711325"/>
                        </a:xfrm>
                        <a:prstGeom prst="rect">
                          <a:avLst/>
                        </a:prstGeom>
                        <a:solidFill>
                          <a:srgbClr val="E3EDEF"/>
                        </a:solidFill>
                        <a:ln w="6350">
                          <a:solidFill>
                            <a:schemeClr val="bg1">
                              <a:lumMod val="75000"/>
                              <a:lumOff val="0"/>
                            </a:schemeClr>
                          </a:solidFill>
                          <a:miter lim="800000"/>
                          <a:headEnd/>
                          <a:tailEnd/>
                        </a:ln>
                      </wps:spPr>
                      <wps:txbx>
                        <w:txbxContent>
                          <w:p w14:paraId="011534DA" w14:textId="77777777" w:rsidR="00184A59" w:rsidRPr="00A976BF" w:rsidRDefault="00BF67A0">
                            <w:pPr>
                              <w:rPr>
                                <w:sz w:val="20"/>
                              </w:rPr>
                            </w:pPr>
                            <w:r w:rsidRPr="00A976BF">
                              <w:rPr>
                                <w:rFonts w:ascii="Arial" w:hAnsi="Arial"/>
                                <w:i/>
                                <w:sz w:val="20"/>
                              </w:rPr>
                              <w:t>While it’s important to understand the role of comprehensive planning in your state, the key thing to keep in mind is that comprehensive plans typically encompass a range of topics and goals, and cover a long-term time horizon, acting as a policy guide for decisions regarding future development.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29" type="#_x0000_t202" style="position:absolute;margin-left:-59.25pt;margin-top:1.4pt;width:197.75pt;height:13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" fillcolor="#e3edef" strokecolor="#bfbfbf [2412]" strokeweight=".5pt">
                <v:textbox inset=",7.2pt,,7.2pt">
                  <w:txbxContent>
                    <w:p w:rsidR="00184A59" w:rsidRPr="00A976BF" w:rsidRDefault="00BF67A0">
                      <w:pPr>
                        <w:rPr>
                          <w:sz w:val="20"/>
                        </w:rPr>
                      </w:pPr>
                      <w:r w:rsidRPr="00A976BF">
                        <w:rPr>
                          <w:rFonts w:ascii="Arial" w:hAnsi="Arial"/>
                          <w:i/>
                          <w:sz w:val="20"/>
                        </w:rPr>
                        <w:t>While it’s important to understand the role of comprehensive planning in your state, the key thing to keep in mind is that comprehensive plans typically encompass a range of topics and goals, and cover a long-term time horizon, acting as a policy guide for decisions regarding future development.</w:t>
                      </w:r>
                    </w:p>
                  </w:txbxContent>
                </v:textbox>
                <w10:wrap type="tight"/>
              </v:shape>
            </w:pict>
          </mc:Fallback>
        </mc:AlternateContent>
      </w:r>
      <w:r w:rsidR="00D37048">
        <w:t>Housing policies in c</w:t>
      </w:r>
      <w:r w:rsidR="00D37048" w:rsidRPr="00B32486">
        <w:t>omprehensive plans must be consistent with any applicable state law (</w:t>
      </w:r>
      <w:r w:rsidR="00D37048">
        <w:t>for example</w:t>
      </w:r>
      <w:r w:rsidR="00D37048" w:rsidRPr="00B32486">
        <w:t xml:space="preserve">, CA </w:t>
      </w:r>
      <w:proofErr w:type="spellStart"/>
      <w:r w:rsidR="00D37048" w:rsidRPr="00B32486">
        <w:t>Govt</w:t>
      </w:r>
      <w:proofErr w:type="spellEnd"/>
      <w:r w:rsidR="00D37048" w:rsidRPr="00B32486">
        <w:t xml:space="preserve"> Code Sec. 65580 provides for “decent housing and a suitable living environment for every Californian”). </w:t>
      </w:r>
      <w:r w:rsidR="00D37048" w:rsidRPr="006E6AFC">
        <w:t xml:space="preserve">If your state </w:t>
      </w:r>
      <w:r w:rsidR="00D37048">
        <w:t>has</w:t>
      </w:r>
      <w:r w:rsidR="00D37048" w:rsidRPr="006E6AFC">
        <w:t xml:space="preserve"> laws governing</w:t>
      </w:r>
      <w:r w:rsidR="00D37048">
        <w:t xml:space="preserve"> policy content for</w:t>
      </w:r>
      <w:r w:rsidR="00D37048" w:rsidRPr="006E6AFC">
        <w:t xml:space="preserve"> local plans</w:t>
      </w:r>
      <w:r w:rsidR="00D37048" w:rsidRPr="00B32486">
        <w:t xml:space="preserve">, </w:t>
      </w:r>
      <w:r w:rsidR="00D37048">
        <w:t>your jurisdiction may consider adopting policy</w:t>
      </w:r>
      <w:r w:rsidR="00D37048" w:rsidRPr="00B32486">
        <w:t xml:space="preserve"> language stating </w:t>
      </w:r>
      <w:r w:rsidR="00D37048">
        <w:t>their intent</w:t>
      </w:r>
      <w:r w:rsidR="00D37048" w:rsidRPr="00B32486">
        <w:t xml:space="preserve"> to pursue an even higher quality of living than statutorily required.</w:t>
      </w:r>
    </w:p>
    <w:p w14:paraId="2CD22BFC" w14:textId="77777777" w:rsidR="00184A59" w:rsidRDefault="00184A59" w:rsidP="00A976BF">
      <w:pPr>
        <w:pStyle w:val="BasicParagraph"/>
      </w:pPr>
    </w:p>
    <w:p w14:paraId="15EE266F" w14:textId="77777777" w:rsidR="00184A59" w:rsidRPr="00A976BF" w:rsidRDefault="00D37048" w:rsidP="00A976BF">
      <w:pPr>
        <w:pStyle w:val="BasicParagraph"/>
        <w:rPr>
          <w:i/>
          <w:color w:val="00598D"/>
        </w:rPr>
      </w:pPr>
      <w:r>
        <w:t xml:space="preserve">Public health is affected by many – if not all – elements of a comprehensive plan. </w:t>
      </w:r>
      <w:r w:rsidRPr="00B32486">
        <w:t xml:space="preserve">Because comprehensive plans </w:t>
      </w:r>
      <w:r>
        <w:t>provide the vision and guidance for how a community will grow and change over time</w:t>
      </w:r>
      <w:r w:rsidRPr="00B32486">
        <w:t xml:space="preserve">, it is important that </w:t>
      </w:r>
      <w:r>
        <w:t>many different</w:t>
      </w:r>
      <w:r w:rsidRPr="00B32486">
        <w:t xml:space="preserve"> voices inform the creation of comprehensive plans. </w:t>
      </w:r>
    </w:p>
    <w:p w14:paraId="6C453987" w14:textId="77777777" w:rsidR="00D37048" w:rsidRPr="00B32486" w:rsidRDefault="00D37048" w:rsidP="00D37048">
      <w:pPr>
        <w:rPr>
          <w:rFonts w:ascii="Calibri" w:hAnsi="Calibri"/>
          <w:b/>
          <w:sz w:val="22"/>
          <w:szCs w:val="22"/>
        </w:rPr>
      </w:pPr>
    </w:p>
    <w:p w14:paraId="36BCDBA4" w14:textId="77777777" w:rsidR="00184A59" w:rsidRPr="00A976BF" w:rsidRDefault="00A976BF" w:rsidP="00A976BF">
      <w:pPr>
        <w:pStyle w:val="Heading3"/>
      </w:pPr>
      <w:r>
        <w:rPr>
          <w:rFonts w:ascii="Calibri" w:hAnsi="Calibri"/>
          <w:b/>
          <w:noProof/>
          <w:sz w:val="22"/>
          <w:szCs w:val="22"/>
        </w:rPr>
        <mc:AlternateContent>
          <mc:Choice Requires="wps">
            <w:drawing>
              <wp:anchor distT="0" distB="0" distL="114300" distR="114300" simplePos="0" relativeHeight="251662848" behindDoc="0" locked="0" layoutInCell="1" allowOverlap="1" wp14:anchorId="7CBBE552" wp14:editId="4F597718">
                <wp:simplePos x="0" y="0"/>
                <wp:positionH relativeFrom="column">
                  <wp:posOffset>4161790</wp:posOffset>
                </wp:positionH>
                <wp:positionV relativeFrom="paragraph">
                  <wp:posOffset>6350</wp:posOffset>
                </wp:positionV>
                <wp:extent cx="1933575" cy="1482725"/>
                <wp:effectExtent l="0" t="6350" r="13335" b="9525"/>
                <wp:wrapTight wrapText="bothSides">
                  <wp:wrapPolygon edited="0">
                    <wp:start x="-113" y="0"/>
                    <wp:lineTo x="-113" y="21507"/>
                    <wp:lineTo x="21713" y="21507"/>
                    <wp:lineTo x="21713" y="0"/>
                    <wp:lineTo x="-113" y="0"/>
                  </wp:wrapPolygon>
                </wp:wrapTight>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82725"/>
                        </a:xfrm>
                        <a:prstGeom prst="rect">
                          <a:avLst/>
                        </a:prstGeom>
                        <a:solidFill>
                          <a:srgbClr val="E3EDEF"/>
                        </a:solidFill>
                        <a:ln w="6350">
                          <a:solidFill>
                            <a:schemeClr val="bg1">
                              <a:lumMod val="75000"/>
                              <a:lumOff val="0"/>
                            </a:schemeClr>
                          </a:solidFill>
                          <a:miter lim="800000"/>
                          <a:headEnd/>
                          <a:tailEnd/>
                        </a:ln>
                      </wps:spPr>
                      <wps:txbx>
                        <w:txbxContent>
                          <w:p w14:paraId="03D62FB4" w14:textId="77777777" w:rsidR="00184A59" w:rsidRPr="00A976BF" w:rsidRDefault="00BF67A0">
                            <w:pPr>
                              <w:rPr>
                                <w:i/>
                                <w:sz w:val="20"/>
                              </w:rPr>
                            </w:pPr>
                            <w:r w:rsidRPr="00A976BF">
                              <w:rPr>
                                <w:rFonts w:ascii="Arial" w:hAnsi="Arial"/>
                                <w:i/>
                                <w:sz w:val="20"/>
                              </w:rPr>
                              <w:t xml:space="preserve">To learn more about comprehensive plans and how to integrate health in the planning process, visit: </w:t>
                            </w:r>
                            <w:r>
                              <w:rPr>
                                <w:rFonts w:ascii="Arial" w:hAnsi="Arial"/>
                                <w:i/>
                                <w:color w:val="00598D"/>
                                <w:sz w:val="20"/>
                              </w:rPr>
                              <w:t>www.changelabsolutions.org</w:t>
                            </w:r>
                            <w:r w:rsidRPr="00A976BF">
                              <w:rPr>
                                <w:rFonts w:ascii="Arial" w:hAnsi="Arial"/>
                                <w:i/>
                                <w:color w:val="00598D"/>
                                <w:sz w:val="20"/>
                              </w:rPr>
                              <w:t xml:space="preserve"> /landing-page/participating-planning-process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30" type="#_x0000_t202" style="position:absolute;margin-left:327.7pt;margin-top:.5pt;width:152.25pt;height:11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" fillcolor="#e3edef" strokecolor="#bfbfbf [2412]" strokeweight=".5pt">
                <v:textbox inset=",7.2pt,,7.2pt">
                  <w:txbxContent>
                    <w:p w:rsidR="00184A59" w:rsidRPr="00A976BF" w:rsidRDefault="00BF67A0">
                      <w:pPr>
                        <w:rPr>
                          <w:i/>
                          <w:sz w:val="20"/>
                        </w:rPr>
                      </w:pPr>
                      <w:r w:rsidRPr="00A976BF">
                        <w:rPr>
                          <w:rFonts w:ascii="Arial" w:hAnsi="Arial"/>
                          <w:i/>
                          <w:sz w:val="20"/>
                        </w:rPr>
                        <w:t xml:space="preserve">To learn more about comprehensive plans and how to integrate health in the planning process, visit: </w:t>
                      </w:r>
                      <w:r>
                        <w:rPr>
                          <w:rFonts w:ascii="Arial" w:hAnsi="Arial"/>
                          <w:i/>
                          <w:color w:val="00598D"/>
                          <w:sz w:val="20"/>
                        </w:rPr>
                        <w:t>www.changelabsolutions.org</w:t>
                      </w:r>
                      <w:r w:rsidRPr="00A976BF">
                        <w:rPr>
                          <w:rFonts w:ascii="Arial" w:hAnsi="Arial"/>
                          <w:i/>
                          <w:color w:val="00598D"/>
                          <w:sz w:val="20"/>
                        </w:rPr>
                        <w:t xml:space="preserve"> /landing-page/participating-planning-process</w:t>
                      </w:r>
                    </w:p>
                  </w:txbxContent>
                </v:textbox>
                <w10:wrap type="tight"/>
              </v:shape>
            </w:pict>
          </mc:Fallback>
        </mc:AlternateContent>
      </w:r>
      <w:r w:rsidR="00D37048" w:rsidRPr="00B32486">
        <w:t>Housing in Comprehensive Plans</w:t>
      </w:r>
    </w:p>
    <w:p w14:paraId="0642F621" w14:textId="77777777" w:rsidR="00184A59" w:rsidRPr="00A976BF" w:rsidRDefault="00BF67A0" w:rsidP="00A976BF">
      <w:pPr>
        <w:pStyle w:val="BasicParagraph"/>
        <w:spacing w:after="240"/>
        <w:rPr>
          <w:spacing w:val="-2"/>
        </w:rPr>
      </w:pPr>
      <w:r w:rsidRPr="00A976BF">
        <w:rPr>
          <w:spacing w:val="-2"/>
        </w:rPr>
        <w:t>A housing element should consider four major health policy areas:</w:t>
      </w:r>
    </w:p>
    <w:p w14:paraId="51E8F168" w14:textId="77777777" w:rsidR="00184A59" w:rsidRDefault="0052296C" w:rsidP="00A976BF">
      <w:pPr>
        <w:pStyle w:val="bullets1"/>
        <w:spacing w:after="0"/>
        <w:ind w:left="720"/>
        <w:rPr>
          <w:b/>
        </w:rPr>
      </w:pPr>
      <w:r>
        <w:rPr>
          <w:b/>
        </w:rPr>
        <w:t>1.</w:t>
      </w:r>
      <w:r>
        <w:rPr>
          <w:b/>
        </w:rPr>
        <w:tab/>
      </w:r>
      <w:r w:rsidR="00D37048">
        <w:rPr>
          <w:b/>
        </w:rPr>
        <w:t>Engaging residents</w:t>
      </w:r>
      <w:r w:rsidR="00F30637">
        <w:rPr>
          <w:b/>
        </w:rPr>
        <w:tab/>
      </w:r>
      <w:r w:rsidR="00F30637">
        <w:rPr>
          <w:b/>
        </w:rPr>
        <w:tab/>
      </w:r>
      <w:r w:rsidR="00F30637">
        <w:rPr>
          <w:b/>
        </w:rPr>
        <w:tab/>
      </w:r>
      <w:r w:rsidR="00F30637">
        <w:rPr>
          <w:b/>
        </w:rPr>
        <w:tab/>
      </w:r>
      <w:r w:rsidR="00F30637">
        <w:rPr>
          <w:b/>
        </w:rPr>
        <w:tab/>
      </w:r>
      <w:r w:rsidR="00F30637">
        <w:rPr>
          <w:b/>
        </w:rPr>
        <w:tab/>
      </w:r>
    </w:p>
    <w:p w14:paraId="7081FD11" w14:textId="77777777" w:rsidR="00184A59" w:rsidRDefault="00D37048" w:rsidP="00A976BF">
      <w:pPr>
        <w:pStyle w:val="bullets1"/>
        <w:spacing w:after="120"/>
        <w:ind w:left="720" w:firstLine="0"/>
      </w:pPr>
      <w:r>
        <w:t>Provide proactive and meaningful opportunities for community members to engage in decisions about their homes and neighborhoods.</w:t>
      </w:r>
    </w:p>
    <w:p w14:paraId="45D670A8" w14:textId="77777777" w:rsidR="00184A59" w:rsidRDefault="0052296C" w:rsidP="00A976BF">
      <w:pPr>
        <w:pStyle w:val="bullets1"/>
        <w:spacing w:after="0"/>
        <w:ind w:left="720"/>
        <w:rPr>
          <w:b/>
        </w:rPr>
      </w:pPr>
      <w:r>
        <w:rPr>
          <w:b/>
        </w:rPr>
        <w:t>2.</w:t>
      </w:r>
      <w:r>
        <w:rPr>
          <w:b/>
        </w:rPr>
        <w:tab/>
      </w:r>
      <w:r w:rsidR="00D37048" w:rsidRPr="00A259AD">
        <w:rPr>
          <w:b/>
        </w:rPr>
        <w:t xml:space="preserve">Healthy </w:t>
      </w:r>
      <w:r w:rsidR="00D37048">
        <w:rPr>
          <w:b/>
        </w:rPr>
        <w:t>h</w:t>
      </w:r>
      <w:r w:rsidR="00D37048" w:rsidRPr="00A259AD">
        <w:rPr>
          <w:b/>
        </w:rPr>
        <w:t>omes</w:t>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r>
      <w:r w:rsidR="00F30637">
        <w:rPr>
          <w:b/>
        </w:rPr>
        <w:tab/>
        <w:t xml:space="preserve">    </w:t>
      </w:r>
    </w:p>
    <w:p w14:paraId="4EACC40F" w14:textId="77777777" w:rsidR="00184A59" w:rsidRPr="00A976BF" w:rsidRDefault="00BF67A0" w:rsidP="00A976BF">
      <w:pPr>
        <w:pStyle w:val="bullets1"/>
        <w:spacing w:after="120"/>
        <w:ind w:left="720" w:firstLine="0"/>
        <w:rPr>
          <w:spacing w:val="-2"/>
        </w:rPr>
      </w:pPr>
      <w:r w:rsidRPr="00A976BF">
        <w:rPr>
          <w:spacing w:val="-2"/>
        </w:rPr>
        <w:t xml:space="preserve">Ensure that new development or housing retrofits include safe and healthy building materials, clean indoor air, pest-free environments, energy and water efficiency, and design that prevents injuries and promotes universal access for people of all abilities. </w:t>
      </w:r>
    </w:p>
    <w:p w14:paraId="54EA43EC" w14:textId="77777777" w:rsidR="00184A59" w:rsidRDefault="0052296C" w:rsidP="00A976BF">
      <w:pPr>
        <w:pStyle w:val="bullets1"/>
        <w:spacing w:after="0"/>
        <w:ind w:left="720"/>
        <w:rPr>
          <w:b/>
        </w:rPr>
      </w:pPr>
      <w:r>
        <w:rPr>
          <w:b/>
        </w:rPr>
        <w:t>3.</w:t>
      </w:r>
      <w:r>
        <w:rPr>
          <w:b/>
        </w:rPr>
        <w:tab/>
      </w:r>
      <w:r w:rsidR="00D37048">
        <w:rPr>
          <w:b/>
        </w:rPr>
        <w:t>Equitable housing o</w:t>
      </w:r>
      <w:r w:rsidR="00D37048" w:rsidRPr="00A259AD">
        <w:rPr>
          <w:b/>
        </w:rPr>
        <w:t>pportunities</w:t>
      </w:r>
    </w:p>
    <w:p w14:paraId="3A3C91B9" w14:textId="77777777" w:rsidR="00184A59" w:rsidRDefault="00D37048" w:rsidP="00A976BF">
      <w:pPr>
        <w:pStyle w:val="bullets1"/>
        <w:spacing w:after="120"/>
        <w:ind w:left="720" w:firstLine="0"/>
      </w:pPr>
      <w:r>
        <w:t>Ensure that housing</w:t>
      </w:r>
      <w:r w:rsidRPr="00B32486">
        <w:t xml:space="preserve"> is affordable to renters and homeowners at a range of income levels</w:t>
      </w:r>
      <w:r>
        <w:t>,</w:t>
      </w:r>
      <w:r w:rsidRPr="00B32486">
        <w:t xml:space="preserve"> and </w:t>
      </w:r>
      <w:r>
        <w:t xml:space="preserve">that </w:t>
      </w:r>
      <w:r w:rsidRPr="00B32486">
        <w:t xml:space="preserve">the mix of housing reflects the </w:t>
      </w:r>
      <w:r>
        <w:t xml:space="preserve">various </w:t>
      </w:r>
      <w:r w:rsidRPr="00B32486">
        <w:t xml:space="preserve">needs </w:t>
      </w:r>
      <w:r>
        <w:t>of the community’s</w:t>
      </w:r>
      <w:r w:rsidRPr="00B32486">
        <w:t xml:space="preserve"> </w:t>
      </w:r>
      <w:r>
        <w:t>residents.</w:t>
      </w:r>
    </w:p>
    <w:p w14:paraId="40AF29A5" w14:textId="77777777" w:rsidR="00184A59" w:rsidRDefault="0052296C" w:rsidP="00A976BF">
      <w:pPr>
        <w:pStyle w:val="bullets1"/>
        <w:spacing w:after="0"/>
        <w:ind w:left="720"/>
        <w:rPr>
          <w:b/>
        </w:rPr>
      </w:pPr>
      <w:r>
        <w:rPr>
          <w:b/>
        </w:rPr>
        <w:t>4.</w:t>
      </w:r>
      <w:r>
        <w:rPr>
          <w:b/>
        </w:rPr>
        <w:tab/>
      </w:r>
      <w:r w:rsidR="00D37048">
        <w:rPr>
          <w:b/>
        </w:rPr>
        <w:t>Healthy n</w:t>
      </w:r>
      <w:r w:rsidR="00D37048" w:rsidRPr="00A259AD">
        <w:rPr>
          <w:b/>
        </w:rPr>
        <w:t>eighborhoods</w:t>
      </w:r>
    </w:p>
    <w:p w14:paraId="1ADD64B4" w14:textId="77777777" w:rsidR="00184A59" w:rsidRDefault="00D37048" w:rsidP="00A976BF">
      <w:pPr>
        <w:pStyle w:val="bullets1"/>
        <w:ind w:left="720" w:firstLine="0"/>
      </w:pPr>
      <w:r>
        <w:t>Develop housing in a way that promotes</w:t>
      </w:r>
      <w:r w:rsidRPr="00B32486">
        <w:t xml:space="preserve"> access to the daily needs and services that support a healthy life, including transportation, education, jobs, healthy food, places to play and be outdoors, and community services</w:t>
      </w:r>
      <w:r>
        <w:t>,</w:t>
      </w:r>
      <w:r w:rsidRPr="00B32486">
        <w:t xml:space="preserve"> such as health care and childcare. </w:t>
      </w:r>
    </w:p>
    <w:p w14:paraId="3A6D04FD" w14:textId="77777777" w:rsidR="00184A59" w:rsidRPr="00A976BF" w:rsidRDefault="00D37048" w:rsidP="00A976BF">
      <w:pPr>
        <w:pStyle w:val="BasicParagraph"/>
        <w:spacing w:after="120"/>
      </w:pPr>
      <w:r>
        <w:t>In addition, a</w:t>
      </w:r>
      <w:r w:rsidRPr="00B32486">
        <w:t xml:space="preserve"> healthy housing element should</w:t>
      </w:r>
      <w:r>
        <w:t>:</w:t>
      </w:r>
    </w:p>
    <w:p w14:paraId="03652F36" w14:textId="77777777" w:rsidR="00184A59" w:rsidRDefault="00D37048" w:rsidP="00A976BF">
      <w:pPr>
        <w:pStyle w:val="bullets"/>
        <w:ind w:left="720" w:hanging="360"/>
      </w:pPr>
      <w:r w:rsidRPr="00B32486">
        <w:t>Address the connection between health and housing</w:t>
      </w:r>
      <w:r>
        <w:t>;</w:t>
      </w:r>
    </w:p>
    <w:p w14:paraId="5BD0E12A" w14:textId="77777777" w:rsidR="00184A59" w:rsidRDefault="00D37048" w:rsidP="00A976BF">
      <w:pPr>
        <w:pStyle w:val="bullets"/>
        <w:ind w:left="720" w:hanging="360"/>
      </w:pPr>
      <w:r w:rsidRPr="00B32486">
        <w:t>Analyze current and projected housing needs for all demographics within the community</w:t>
      </w:r>
      <w:r>
        <w:t>, in addition to data on connected health outcomes, such as asthma or housing instability and mental health;</w:t>
      </w:r>
    </w:p>
    <w:p w14:paraId="775AEB16" w14:textId="77777777" w:rsidR="00184A59" w:rsidRDefault="00D37048" w:rsidP="00A976BF">
      <w:pPr>
        <w:pStyle w:val="bullets"/>
        <w:ind w:left="720" w:hanging="360"/>
      </w:pPr>
      <w:r w:rsidRPr="00B32486">
        <w:t>Provide an overall vision</w:t>
      </w:r>
      <w:r>
        <w:t>,</w:t>
      </w:r>
      <w:r w:rsidRPr="00B32486">
        <w:t xml:space="preserve"> as well as goals, policies, and objectives</w:t>
      </w:r>
      <w:r>
        <w:t>,</w:t>
      </w:r>
      <w:r w:rsidRPr="00B32486">
        <w:t xml:space="preserve"> to preserve, improve</w:t>
      </w:r>
      <w:r>
        <w:t>,</w:t>
      </w:r>
      <w:r w:rsidRPr="00B32486">
        <w:t xml:space="preserve"> and develop a community’s housing</w:t>
      </w:r>
      <w:r>
        <w:t>;</w:t>
      </w:r>
    </w:p>
    <w:p w14:paraId="75F99B3B" w14:textId="77777777" w:rsidR="00184A59" w:rsidRPr="00A976BF" w:rsidRDefault="00BF67A0" w:rsidP="00A976BF">
      <w:pPr>
        <w:pStyle w:val="bullets"/>
        <w:ind w:left="720" w:hanging="360"/>
        <w:rPr>
          <w:spacing w:val="-2"/>
        </w:rPr>
      </w:pPr>
      <w:r w:rsidRPr="00A976BF">
        <w:rPr>
          <w:spacing w:val="-2"/>
        </w:rPr>
        <w:t>Be internally consistent with other parts of the comprehensive plan; that is, housing policies should align with those guiding land use, transportation, and other elements;</w:t>
      </w:r>
    </w:p>
    <w:p w14:paraId="03C52A89" w14:textId="77777777" w:rsidR="00184A59" w:rsidRDefault="00D37048" w:rsidP="00A976BF">
      <w:pPr>
        <w:pStyle w:val="bullets"/>
        <w:ind w:left="720" w:hanging="360"/>
      </w:pPr>
      <w:r w:rsidRPr="00B32486">
        <w:t>Be approved by any relevant state bodies and consistent with any relevant state documents (for example, in California, certification is required by the State Department of Housing and Community Development</w:t>
      </w:r>
      <w:r>
        <w:t xml:space="preserve">; </w:t>
      </w:r>
      <w:r w:rsidRPr="00B32486">
        <w:t>in Rhode Island, each local comprehensive plan is required to be consistent with the State Guide Plan)</w:t>
      </w:r>
      <w:r>
        <w:t>; and</w:t>
      </w:r>
    </w:p>
    <w:p w14:paraId="3DFD863D" w14:textId="77777777" w:rsidR="00184A59" w:rsidRDefault="00D37048" w:rsidP="00A976BF">
      <w:pPr>
        <w:pStyle w:val="bullets"/>
        <w:ind w:left="720" w:hanging="360"/>
      </w:pPr>
      <w:r w:rsidRPr="00B32486">
        <w:t>Be updated regularly</w:t>
      </w:r>
      <w:r>
        <w:t xml:space="preserve"> (often, every five to ten years)</w:t>
      </w:r>
      <w:r w:rsidRPr="00B32486">
        <w:t xml:space="preserve"> to reflect community’s up-to-date needs</w:t>
      </w:r>
      <w:r>
        <w:t>.</w:t>
      </w:r>
    </w:p>
    <w:p w14:paraId="42139C0A" w14:textId="77777777" w:rsidR="00D37048" w:rsidRPr="00B32486" w:rsidRDefault="00D37048" w:rsidP="00D37048">
      <w:pPr>
        <w:rPr>
          <w:rFonts w:ascii="Calibri" w:hAnsi="Calibri"/>
          <w:sz w:val="22"/>
          <w:szCs w:val="22"/>
        </w:rPr>
      </w:pPr>
    </w:p>
    <w:p w14:paraId="05560939" w14:textId="77777777" w:rsidR="00184A59" w:rsidRDefault="00D37048" w:rsidP="00A976BF">
      <w:pPr>
        <w:pStyle w:val="Heading3"/>
      </w:pPr>
      <w:r w:rsidRPr="00B32486">
        <w:lastRenderedPageBreak/>
        <w:t>Equity and Housing</w:t>
      </w:r>
    </w:p>
    <w:p w14:paraId="50AC7E29" w14:textId="77777777" w:rsidR="00184A59" w:rsidRPr="00A976BF" w:rsidRDefault="00D37048" w:rsidP="00A976BF">
      <w:pPr>
        <w:pStyle w:val="BasicParagraph"/>
      </w:pPr>
      <w:r w:rsidRPr="00B32486">
        <w:t xml:space="preserve">The 1949 Housing Act </w:t>
      </w:r>
      <w:r>
        <w:t>established</w:t>
      </w:r>
      <w:r w:rsidRPr="00B32486">
        <w:t xml:space="preserve"> the goal of "a decent home and suitable living environment for every American family." The American Institute of Certified Planners (AICP) Code of Ethics states that planners have a responsibility to support the needs of underrepresented and disadvantaged people</w:t>
      </w:r>
      <w:r w:rsidR="00F30637">
        <w:t>.</w:t>
      </w:r>
      <w:r w:rsidR="00BF67A0" w:rsidRPr="00A976BF">
        <w:rPr>
          <w:rStyle w:val="FootnoteReference"/>
          <w:vertAlign w:val="baseline"/>
        </w:rPr>
        <w:footnoteReference w:id="1"/>
      </w:r>
      <w:r w:rsidR="00BF67A0" w:rsidRPr="00A976BF">
        <w:t xml:space="preserve"> </w:t>
      </w:r>
      <w:r w:rsidRPr="00B32486">
        <w:t xml:space="preserve">These documents emphasize </w:t>
      </w:r>
      <w:r>
        <w:t>that</w:t>
      </w:r>
      <w:r w:rsidRPr="00B32486">
        <w:t xml:space="preserve"> planners and other decision-makers</w:t>
      </w:r>
      <w:r>
        <w:t xml:space="preserve"> should use</w:t>
      </w:r>
      <w:r w:rsidRPr="00B32486">
        <w:t xml:space="preserve"> an equity lens</w:t>
      </w:r>
      <w:r>
        <w:t xml:space="preserve"> when </w:t>
      </w:r>
      <w:r w:rsidRPr="00B32486">
        <w:t>develop</w:t>
      </w:r>
      <w:r>
        <w:t>ing</w:t>
      </w:r>
      <w:r w:rsidRPr="00B32486">
        <w:t xml:space="preserve"> and ve</w:t>
      </w:r>
      <w:r>
        <w:t>t</w:t>
      </w:r>
      <w:r w:rsidRPr="00B32486">
        <w:t>t</w:t>
      </w:r>
      <w:r>
        <w:t>ing</w:t>
      </w:r>
      <w:r w:rsidR="00F30637">
        <w:t xml:space="preserve"> plans and policies. </w:t>
      </w:r>
      <w:r w:rsidRPr="00B32486">
        <w:t xml:space="preserve">All aspects </w:t>
      </w:r>
      <w:r>
        <w:t>of planning for healthy housing</w:t>
      </w:r>
      <w:r w:rsidRPr="00B32486">
        <w:t xml:space="preserve"> should be viewed</w:t>
      </w:r>
      <w:r>
        <w:t xml:space="preserve"> as an opportunity to advance </w:t>
      </w:r>
      <w:r w:rsidRPr="00B32486">
        <w:t xml:space="preserve">more equitable </w:t>
      </w:r>
      <w:r>
        <w:t xml:space="preserve">and inclusive </w:t>
      </w:r>
      <w:r w:rsidRPr="00B32486">
        <w:t>communit</w:t>
      </w:r>
      <w:r>
        <w:t>ies</w:t>
      </w:r>
      <w:r w:rsidRPr="00B32486">
        <w:t xml:space="preserve">. </w:t>
      </w:r>
    </w:p>
    <w:p w14:paraId="0470DC6A" w14:textId="77777777" w:rsidR="00D37048" w:rsidRDefault="00D37048" w:rsidP="00D37048"/>
    <w:p w14:paraId="78C48919" w14:textId="77777777" w:rsidR="00184A59" w:rsidRDefault="00A976BF" w:rsidP="00A976BF">
      <w:pPr>
        <w:pStyle w:val="BasicParagraph"/>
      </w:pPr>
      <w:r>
        <w:rPr>
          <w:noProof/>
          <w:lang w:bidi="ar-SA"/>
        </w:rPr>
        <mc:AlternateContent>
          <mc:Choice Requires="wps">
            <w:drawing>
              <wp:anchor distT="0" distB="0" distL="114300" distR="114300" simplePos="0" relativeHeight="251663872" behindDoc="0" locked="0" layoutInCell="1" allowOverlap="1" wp14:anchorId="363ABABF" wp14:editId="061B01DD">
                <wp:simplePos x="0" y="0"/>
                <wp:positionH relativeFrom="column">
                  <wp:posOffset>3704590</wp:posOffset>
                </wp:positionH>
                <wp:positionV relativeFrom="paragraph">
                  <wp:posOffset>42545</wp:posOffset>
                </wp:positionV>
                <wp:extent cx="2279650" cy="1597025"/>
                <wp:effectExtent l="0" t="4445" r="10160" b="11430"/>
                <wp:wrapTight wrapText="bothSides">
                  <wp:wrapPolygon edited="0">
                    <wp:start x="-114" y="0"/>
                    <wp:lineTo x="-114" y="21514"/>
                    <wp:lineTo x="21714" y="21514"/>
                    <wp:lineTo x="21714" y="0"/>
                    <wp:lineTo x="-114" y="0"/>
                  </wp:wrapPolygon>
                </wp:wrapTight>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597025"/>
                        </a:xfrm>
                        <a:prstGeom prst="rect">
                          <a:avLst/>
                        </a:prstGeom>
                        <a:solidFill>
                          <a:srgbClr val="E3EDEF"/>
                        </a:solidFill>
                        <a:ln w="6350">
                          <a:solidFill>
                            <a:schemeClr val="bg1">
                              <a:lumMod val="75000"/>
                              <a:lumOff val="0"/>
                            </a:schemeClr>
                          </a:solidFill>
                          <a:miter lim="800000"/>
                          <a:headEnd/>
                          <a:tailEnd/>
                        </a:ln>
                      </wps:spPr>
                      <wps:txbx>
                        <w:txbxContent>
                          <w:p w14:paraId="126918F7" w14:textId="77777777" w:rsidR="00184A59" w:rsidRPr="00A976BF" w:rsidRDefault="00BF67A0">
                            <w:pPr>
                              <w:rPr>
                                <w:i/>
                                <w:sz w:val="20"/>
                              </w:rPr>
                            </w:pPr>
                            <w:r w:rsidRPr="00A976BF">
                              <w:rPr>
                                <w:rFonts w:ascii="Arial" w:hAnsi="Arial"/>
                                <w:i/>
                                <w:sz w:val="20"/>
                              </w:rPr>
                              <w:t xml:space="preserve">In the City of Denver’s comprehensive plan, for example, the housing element </w:t>
                            </w:r>
                            <w:proofErr w:type="gramStart"/>
                            <w:r w:rsidRPr="00A976BF">
                              <w:rPr>
                                <w:rFonts w:ascii="Arial" w:hAnsi="Arial"/>
                                <w:i/>
                                <w:sz w:val="20"/>
                              </w:rPr>
                              <w:t>acknowledges that</w:t>
                            </w:r>
                            <w:proofErr w:type="gramEnd"/>
                            <w:r w:rsidRPr="00A976BF">
                              <w:rPr>
                                <w:rFonts w:ascii="Arial" w:hAnsi="Arial"/>
                                <w:i/>
                                <w:sz w:val="20"/>
                              </w:rPr>
                              <w:t xml:space="preserve"> “equitable standards based on outcomes may not require the same allocation of service or resources in every neighborhood, due to differing neighborhood needs.”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1" type="#_x0000_t202" style="position:absolute;margin-left:291.7pt;margin-top:3.35pt;width:179.5pt;height:12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" fillcolor="#e3edef" strokecolor="#bfbfbf [2412]" strokeweight=".5pt">
                <v:textbox inset=",7.2pt,,7.2pt">
                  <w:txbxContent>
                    <w:p w:rsidR="00184A59" w:rsidRPr="00A976BF" w:rsidRDefault="00BF67A0">
                      <w:pPr>
                        <w:rPr>
                          <w:i/>
                          <w:sz w:val="20"/>
                        </w:rPr>
                      </w:pPr>
                      <w:r w:rsidRPr="00A976BF">
                        <w:rPr>
                          <w:rFonts w:ascii="Arial" w:hAnsi="Arial"/>
                          <w:i/>
                          <w:sz w:val="20"/>
                        </w:rPr>
                        <w:t xml:space="preserve">In the City of Denver’s comprehensive plan, for example, the housing element </w:t>
                      </w:r>
                      <w:proofErr w:type="gramStart"/>
                      <w:r w:rsidRPr="00A976BF">
                        <w:rPr>
                          <w:rFonts w:ascii="Arial" w:hAnsi="Arial"/>
                          <w:i/>
                          <w:sz w:val="20"/>
                        </w:rPr>
                        <w:t>acknowledges that</w:t>
                      </w:r>
                      <w:proofErr w:type="gramEnd"/>
                      <w:r w:rsidRPr="00A976BF">
                        <w:rPr>
                          <w:rFonts w:ascii="Arial" w:hAnsi="Arial"/>
                          <w:i/>
                          <w:sz w:val="20"/>
                        </w:rPr>
                        <w:t xml:space="preserve"> “equitable standards based on outcomes may not require the same allocation of service or resources in every neighborhood, due to differing neighborhood needs.”</w:t>
                      </w:r>
                    </w:p>
                  </w:txbxContent>
                </v:textbox>
                <w10:wrap type="tight"/>
              </v:shape>
            </w:pict>
          </mc:Fallback>
        </mc:AlternateContent>
      </w:r>
      <w:r w:rsidR="00D37048" w:rsidRPr="00A259AD">
        <w:t xml:space="preserve">The location of </w:t>
      </w:r>
      <w:r w:rsidR="00D37048">
        <w:t>a person</w:t>
      </w:r>
      <w:r w:rsidR="00D37048" w:rsidRPr="00A259AD">
        <w:t>’s home is a major determinant of whether they have access to good jobs, a quality education, and a robust social network. A lack of affordable housing</w:t>
      </w:r>
      <w:r w:rsidR="00D37048">
        <w:t xml:space="preserve"> in a community</w:t>
      </w:r>
      <w:r w:rsidR="00D37048" w:rsidRPr="00A259AD">
        <w:t xml:space="preserve"> drives lengthy and costly commutes,</w:t>
      </w:r>
      <w:r w:rsidR="00D37048">
        <w:t xml:space="preserve"> few convenient </w:t>
      </w:r>
      <w:r w:rsidR="00D37048" w:rsidRPr="00A259AD">
        <w:t>work and educational opportunities, and social isolation</w:t>
      </w:r>
      <w:r w:rsidR="00AD707B">
        <w:t xml:space="preserve">  – </w:t>
      </w:r>
      <w:r w:rsidR="00D37048" w:rsidRPr="00B9287C">
        <w:t>in other words, when housing isn’t affordable, people must make trade-offs that have the potential to compromise their health.</w:t>
      </w:r>
      <w:r w:rsidR="00B4032C">
        <w:t xml:space="preserve"> </w:t>
      </w:r>
    </w:p>
    <w:p w14:paraId="26CC85EF" w14:textId="77777777" w:rsidR="00184A59" w:rsidRDefault="00184A59" w:rsidP="00A976BF">
      <w:pPr>
        <w:pStyle w:val="BasicParagraph"/>
      </w:pPr>
    </w:p>
    <w:p w14:paraId="0F3AF36D" w14:textId="77777777" w:rsidR="00D37048" w:rsidRDefault="00D37048" w:rsidP="00223B99">
      <w:pPr>
        <w:pStyle w:val="BasicParagraph"/>
      </w:pPr>
      <w:r>
        <w:t>For many, unaffordable housing means housing instability, which negatively affects health and forces households to forgo basic needs. F</w:t>
      </w:r>
      <w:r w:rsidRPr="00B32486">
        <w:t xml:space="preserve">amilies who have reported </w:t>
      </w:r>
      <w:r>
        <w:t xml:space="preserve">that they have </w:t>
      </w:r>
      <w:r w:rsidRPr="00B32486">
        <w:t>trouble paying for housing or utilities are 84 percent more likely to report that they have delayed necessary medical care and 116 percent more likely to report having postponed the purchase of needed medications.</w:t>
      </w:r>
      <w:r w:rsidR="00BF67A0" w:rsidRPr="00B32486">
        <w:fldChar w:fldCharType="begin" w:fldLock="1"/>
      </w:r>
      <w:r>
        <w:instrText>ADDIN CSL_CITATION { "citationItems" : [ { "id" : "ITEM-1", "itemData" : { "DOI" : "10.1111/j.1525-1497.2005.00278.x", "ISSN" : "1525-1497", "PMID" : "16423128", "abstract" : "BACKGROUND: Homelessness and hunger are associated with poor health outcomes. Housing instability and food insecurity describe less severe problems securing housing and food.\n\nOBJECTIVE: To determine the association between housing instability and food insecurity and access to ambulatory health care and rates of acute health care utilization.\n\nDESIGN: Secondary data analysis of the National Survey of American Families.\n\nPARTICIPANTS: 16,651 low-income adults.\n\nMEASUREMENT: Self-reported measures of past-year access: (1) not having a usual source of care, (2) postponing needed medical care, or (3) postponing medication; and past-year utilization: (1) not having an ambulatory care visit, (2) having emergency department (ED) visits, or (3) inpatient hospitalization.\n\nRESULTS: 23.6% of subjects had housing instability and 42.7% had food insecurity. In multivariate logistic regression models, housing instability was independently associated with not having a usual source of care (adjusted odds ratio [AOR] 1.31, 95% confidence interval [CI] 1.08 to 1.59), postponing needed medical care (AOR 1.84, 95% CI 1.46 to 2.31) and postponing medications (AOR 2.16, 95% CI 1.70 to 2.74), increased ED use (AOR: 1.43, 95% CI 1.20 to 1.70), and hospitalizations (AOR 1.30, 95% CI 1.01 to 1.67). Food insecurity was independently associated with postponing needed medical care (AOR 1.74, 95% CI 1.38 to 2.21) and postponing medications (AOR 2.15, 95% CI 1.62 to 2.85), increased ED use (AOR 1.39, 95% CI 1.17 to 1.66), and hospitalizations (AOR 1.42, 95% CI 1.09 to 1.85).\n\nCONCLUSIONS: Housing instability and food insecurity are associated with poor access to ambulatory care and high rates of acute care. These competing life demands may lead to delays in seeking care and predispose to acute care.", "author" : [ { "dropping-particle" : "", "family" : "Kushel", "given" : "Margot B", "non-dropping-particle" : "", "parse-names" : false, "suffix" : "" }, { "dropping-particle" : "", "family" : "Gupta", "given" : "Reena", "non-dropping-particle" : "", "parse-names" : false, "suffix" : "" }, { "dropping-particle" : "", "family" : "Gee", "given" : "Lauren", "non-dropping-particle" : "", "parse-names" : false, "suffix" : "" }, { "dropping-particle" : "", "family" : "Haas", "given" : "Jennifer S", "non-dropping-particle" : "", "parse-names" : false, "suffix" : "" } ], "container-title" : "Journal of general internal medicine", "id" : "ITEM-1", "issue" : "1", "issued" : { "date-parts" : [ [ "2006", "1" ] ] }, "page" : "71-7", "title" : "Housing instability and food insecurity as barriers to health care among low-income Americans.", "type" : "article-journal", "volume" : "21" }, "uris" : [ "http://www.mendeley.com/documents/?uuid=fc7acbb0-2f71-4249-8b7a-5dd7e758e129" ] } ], "mendeley" : { "formattedCitation" : "&lt;sup&gt;4&lt;/sup&gt;", "plainTextFormattedCitation" : "4", "previouslyFormattedCitation" : "&lt;sup&gt;4&lt;/sup&gt;" }, "properties" : { "noteIndex" : 0 }, "schema" : "https://github.com/citation-style-language/schema/raw/master/csl-citation.json" }</w:instrText>
      </w:r>
      <w:r w:rsidR="00BF67A0" w:rsidRPr="00B32486">
        <w:fldChar w:fldCharType="separate"/>
      </w:r>
      <w:r w:rsidRPr="00230C5B">
        <w:rPr>
          <w:noProof/>
          <w:vertAlign w:val="superscript"/>
        </w:rPr>
        <w:t>4</w:t>
      </w:r>
      <w:r w:rsidR="00BF67A0" w:rsidRPr="00B32486">
        <w:fldChar w:fldCharType="end"/>
      </w:r>
      <w:r w:rsidRPr="00B32486">
        <w:t xml:space="preserve"> </w:t>
      </w:r>
      <w:r>
        <w:t>In addition, f</w:t>
      </w:r>
      <w:r w:rsidRPr="00B32486">
        <w:t>amilies that spend more than 30 percent of their income on rent also suffer other adverse health effects, such as reduced cognitive development in youth.</w:t>
      </w:r>
      <w:r w:rsidR="00BF67A0" w:rsidRPr="00B32486">
        <w:fldChar w:fldCharType="begin" w:fldLock="1"/>
      </w:r>
      <w:r>
        <w:instrText>ADDIN CSL_CITATION { "citationItems" : [ { "id" : "ITEM-1", "itemData" : { "DOI" : "10.1016/j.jhe.2013.11.006", "ISSN" : "10511377", "author" : [ { "dropping-particle" : "", "family" : "Newman", "given" : "Sandra J.", "non-dropping-particle" : "", "parse-names" : false, "suffix" : "" }, { "dropping-particle" : "", "family" : "Holupka", "given" : "C. Scott", "non-dropping-particle" : "", "parse-names" : false, "suffix" : "" } ], "container-title" : "Journal of Housing Economics", "id" : "ITEM-1", "issued" : { "date-parts" : [ [ "2014", "6" ] ] }, "page" : "89-100", "publisher" : "Elsevier Inc.", "title" : "Housing affordability and investments in children", "type" : "article-journal", "volume" : "24" }, "uris" : [ "http://www.mendeley.com/documents/?uuid=b2322cbc-fa92-44d7-9b48-e98af654d038" ] } ], "mendeley" : { "formattedCitation" : "&lt;sup&gt;5&lt;/sup&gt;", "plainTextFormattedCitation" : "5", "previouslyFormattedCitation" : "&lt;sup&gt;5&lt;/sup&gt;" }, "properties" : { "noteIndex" : 0 }, "schema" : "https://github.com/citation-style-language/schema/raw/master/csl-citation.json" }</w:instrText>
      </w:r>
      <w:r w:rsidR="00BF67A0" w:rsidRPr="00B32486">
        <w:fldChar w:fldCharType="separate"/>
      </w:r>
      <w:r w:rsidRPr="00230C5B">
        <w:rPr>
          <w:noProof/>
          <w:vertAlign w:val="superscript"/>
        </w:rPr>
        <w:t>5</w:t>
      </w:r>
      <w:r w:rsidR="00BF67A0" w:rsidRPr="00B32486">
        <w:fldChar w:fldCharType="end"/>
      </w:r>
    </w:p>
    <w:p w14:paraId="639948A7" w14:textId="77777777" w:rsidR="00CC7545" w:rsidRDefault="00CC7545">
      <w:pPr>
        <w:pStyle w:val="BasicParagraph"/>
      </w:pPr>
    </w:p>
    <w:p w14:paraId="0A852762" w14:textId="77777777" w:rsidR="00184A59" w:rsidRDefault="00D37048" w:rsidP="00A976BF">
      <w:pPr>
        <w:pStyle w:val="BasicParagraph"/>
      </w:pPr>
      <w:r w:rsidRPr="00B32486">
        <w:t>As rents rise and affordable housing options disappear, the difficulty of finding alternative housing intensifies</w:t>
      </w:r>
      <w:r>
        <w:t>, too</w:t>
      </w:r>
      <w:r w:rsidRPr="00B32486">
        <w:t xml:space="preserve">. </w:t>
      </w:r>
      <w:r w:rsidRPr="00EA5470">
        <w:t>With limited budgets and numerous necessities to pay for, such as food and clothing</w:t>
      </w:r>
      <w:r>
        <w:t>,</w:t>
      </w:r>
      <w:r w:rsidR="00B4032C">
        <w:t xml:space="preserve"> </w:t>
      </w:r>
      <w:r w:rsidRPr="00B32486">
        <w:t>low-income populations are more likely to select lower-quality housing they can afford.</w:t>
      </w:r>
      <w:r w:rsidR="00BF67A0" w:rsidRPr="00B32486">
        <w:fldChar w:fldCharType="begin" w:fldLock="1"/>
      </w:r>
      <w:r>
        <w:instrText>ADDIN CSL_CITATION { "citationItems" : [ { "id" : "ITEM-1", "itemData" : { "author" : [ { "dropping-particle" : "", "family" : "The Joint Center for Housing Studies", "given" : "", "non-dropping-particle" : "", "parse-names" : false, "suffix" : "" } ], "id" : "ITEM-1", "issued" : { "date-parts" : [ [ "2014" ] ] }, "publisher-place" : "Boston, MA", "title" : "The State of the Nation's Housing", "type" : "report" }, "uris" : [ "http://www.mendeley.com/documents/?uuid=738e06a3-aee3-4599-a83e-5c9786a72f06" ] } ], "mendeley" : { "formattedCitation" : "&lt;sup&gt;6&lt;/sup&gt;", "plainTextFormattedCitation" : "6", "previouslyFormattedCitation" : "&lt;sup&gt;6&lt;/sup&gt;" }, "properties" : { "noteIndex" : 0 }, "schema" : "https://github.com/citation-style-language/schema/raw/master/csl-citation.json" }</w:instrText>
      </w:r>
      <w:r w:rsidR="00BF67A0" w:rsidRPr="00B32486">
        <w:fldChar w:fldCharType="separate"/>
      </w:r>
      <w:r w:rsidRPr="00230C5B">
        <w:rPr>
          <w:noProof/>
          <w:vertAlign w:val="superscript"/>
        </w:rPr>
        <w:t>6</w:t>
      </w:r>
      <w:r w:rsidR="00BF67A0" w:rsidRPr="00B32486">
        <w:fldChar w:fldCharType="end"/>
      </w:r>
      <w:r w:rsidRPr="00B32486">
        <w:t xml:space="preserve"> As a consequence, low-income families and individuals are more likely to live in housing with rodents, mold, or structural problems.</w:t>
      </w:r>
      <w:r w:rsidR="00BF67A0" w:rsidRPr="00B32486">
        <w:fldChar w:fldCharType="begin" w:fldLock="1"/>
      </w:r>
      <w:r>
        <w:instrText>ADDIN CSL_CITATION { "citationItems" : [ { "id" : "ITEM-1", "itemData" : { "author" : [ { "dropping-particle" : "", "family" : "The Joint Center for Housing Studies", "given" : "", "non-dropping-particle" : "", "parse-names" : false, "suffix" : "" } ], "id" : "ITEM-1", "issued" : { "date-parts" : [ [ "2014" ] ] }, "publisher-place" : "Boston, MA", "title" : "The State of the Nation's Housing", "type" : "report" }, "uris" : [ "http://www.mendeley.com/documents/?uuid=738e06a3-aee3-4599-a83e-5c9786a72f06" ] } ], "mendeley" : { "formattedCitation" : "&lt;sup&gt;6&lt;/sup&gt;", "plainTextFormattedCitation" : "6", "previouslyFormattedCitation" : "&lt;sup&gt;6&lt;/sup&gt;" }, "properties" : { "noteIndex" : 0 }, "schema" : "https://github.com/citation-style-language/schema/raw/master/csl-citation.json" }</w:instrText>
      </w:r>
      <w:r w:rsidR="00BF67A0" w:rsidRPr="00B32486">
        <w:fldChar w:fldCharType="separate"/>
      </w:r>
      <w:r w:rsidRPr="00230C5B">
        <w:rPr>
          <w:noProof/>
          <w:vertAlign w:val="superscript"/>
        </w:rPr>
        <w:t>6</w:t>
      </w:r>
      <w:r w:rsidR="00BF67A0" w:rsidRPr="00B32486">
        <w:fldChar w:fldCharType="end"/>
      </w:r>
      <w:r>
        <w:t xml:space="preserve"> Not only does this environment</w:t>
      </w:r>
      <w:r w:rsidRPr="00B32486">
        <w:t xml:space="preserve"> jeopardize the health, s</w:t>
      </w:r>
      <w:r>
        <w:t>afety, and welfare of residents, it poses</w:t>
      </w:r>
      <w:r w:rsidRPr="00B32486">
        <w:t xml:space="preserve"> an especially acute risk to </w:t>
      </w:r>
      <w:r>
        <w:t xml:space="preserve">sensitive populations like </w:t>
      </w:r>
      <w:r w:rsidRPr="00B32486">
        <w:t>young children</w:t>
      </w:r>
      <w:r>
        <w:t xml:space="preserve"> and seniors</w:t>
      </w:r>
      <w:r w:rsidR="00CC7545">
        <w:t>.</w:t>
      </w:r>
      <w:r w:rsidR="00BF67A0" w:rsidRPr="00A976BF">
        <w:rPr>
          <w:vertAlign w:val="superscript"/>
        </w:rPr>
        <w:t>2,</w:t>
      </w:r>
      <w:r w:rsidR="00BF67A0" w:rsidRPr="00A976BF">
        <w:rPr>
          <w:vertAlign w:val="superscript"/>
        </w:rPr>
        <w:fldChar w:fldCharType="begin" w:fldLock="1"/>
      </w:r>
      <w:r w:rsidR="00BF67A0" w:rsidRPr="00A976BF">
        <w:rPr>
          <w:vertAlign w:val="superscript"/>
        </w:rPr>
        <w:instrText>ADDIN CSL_CITATION { "citationItems" : [ { "id" : "ITEM-1", "itemData" : { "author" : [ { "dropping-particle" : "", "family" : "Federal Healthy Homes Work Group", "given" : "", "non-dropping-particle" : "", "parse-names" : false, "suffix" : "" } ], "id" : "ITEM-1", "issued" : { "date-parts" : [ [ "2013" ] ] }, "note" : "From Duplicate 1 ( Advancing Healthy Housing: A Strategy for Action- Federal Healthy Homes Work Group )", "title" : "Advancing Healthy Housing: A Strategy for Action", "type" : "report" }, "uris" : [ "http://www.mendeley.com/documents/?uuid=39d8978c-a2f4-41f0-903a-472844218792" ] } ], "mendeley" : { "formattedCitation" : "&lt;sup&gt;7&lt;/sup&gt;", "plainTextFormattedCitation" : "7", "previouslyFormattedCitation" : "&lt;sup&gt;7&lt;/sup&gt;" }, "properties" : { "noteIndex" : 0 }, "schema" : "https://github.com/citation-style-language/schema/raw/master/csl-citation.json" }</w:instrText>
      </w:r>
      <w:r w:rsidR="00BF67A0" w:rsidRPr="00A976BF">
        <w:rPr>
          <w:vertAlign w:val="superscript"/>
        </w:rPr>
        <w:fldChar w:fldCharType="separate"/>
      </w:r>
      <w:r w:rsidR="00BF67A0" w:rsidRPr="00A976BF">
        <w:rPr>
          <w:noProof/>
          <w:vertAlign w:val="superscript"/>
        </w:rPr>
        <w:t>7</w:t>
      </w:r>
      <w:r w:rsidR="00BF67A0" w:rsidRPr="00A976BF">
        <w:rPr>
          <w:vertAlign w:val="superscript"/>
        </w:rPr>
        <w:fldChar w:fldCharType="end"/>
      </w:r>
      <w:r w:rsidR="00CC7545">
        <w:rPr>
          <w:vertAlign w:val="superscript"/>
        </w:rPr>
        <w:t>,</w:t>
      </w:r>
      <w:r w:rsidR="00BF67A0" w:rsidRPr="00B32486">
        <w:rPr>
          <w:vertAlign w:val="superscript"/>
        </w:rPr>
        <w:fldChar w:fldCharType="begin" w:fldLock="1"/>
      </w:r>
      <w:r>
        <w:rPr>
          <w:vertAlign w:val="superscript"/>
        </w:rPr>
        <w:instrText>ADDIN CSL_CITATION { "citationItems" : [ { "id" : "ITEM-1", "itemData" : { "DOI" : "10.1016/j.amepre.2004.09.015", "ISSN" : "0749-3797", "PMID" : "15626563", "abstract" : "BACKGROUND: Falls are the most common cause of both fatal and nonfatal unintentional injury in the home environment. This research describes the prevalence of fall-related risk and protective factors in U.S. homes.\n\nMETHODS: A random-digit-dial survey was conducted of 1003 households in the continental United States to estimate the prevalence of risk and protective factors for falls in homes. Data were weighted to reflect the national distribution of households.\n\nRESULTS: Fall hazards such as stairs with four or more steps (70%), absence of railings on stairs (34%), and use of ladders (60%) are common in many households. Use of grab bars and handrails in the bathroom was low, as was the presence of guards and locks on windows (both 25%). However, households with young children and older adults reported greater use of appropriate antifall devices. Sixty-five percent of households with children aged &lt;/=2 years reported using safety gates on stairs. Higher household income and owner-occupied (as opposed to rental) homes had an increased prevalence of fall hazards (more stairs without railings, greater use of ladders).\n\nCONCLUSIONS: Considerable opportunity exists for increased use of antifall protective devices and reduction of fall hazards.", "author" : [ { "dropping-particle" : "", "family" : "Marshall", "given" : "Stephen W", "non-dropping-particle" : "", "parse-names" : false, "suffix" : "" }, { "dropping-particle" : "", "family" : "Runyan", "given" : "Carol W", "non-dropping-particle" : "", "parse-names" : false, "suffix" : "" }, { "dropping-particle" : "", "family" : "Yang", "given" : "Jingzhen", "non-dropping-particle" : "", "parse-names" : false, "suffix" : "" }, { "dropping-particle" : "", "family" : "Coyne-Beasley", "given" : "Tamera", "non-dropping-particle" : "", "parse-names" : false, "suffix" : "" }, { "dropping-particle" : "", "family" : "Waller", "given" : "Anna E", "non-dropping-particle" : "", "parse-names" : false, "suffix" : "" }, { "dropping-particle" : "", "family" : "Johnson", "given" : "Renee M", "non-dropping-particle" : "", "parse-names" : false, "suffix" : "" }, { "dropping-particle" : "", "family" : "Perkis", "given" : "David", "non-dropping-particle" : "", "parse-names" : false, "suffix" : "" } ], "container-title" : "American journal of preventive medicine", "id" : "ITEM-1", "issue" : "1", "issued" : { "date-parts" : [ [ "2005", "1" ] ] }, "page" : "95-101", "title" : "Prevalence of selected risk and protective factors for falls in the home.", "type" : "article-journal", "volume" : "28" }, "uris" : [ "http://www.mendeley.com/documents/?uuid=e327c0fd-cb9f-4380-8c59-1e354bedc841" ] } ], "mendeley" : { "formattedCitation" : "&lt;sup&gt;8&lt;/sup&gt;", "plainTextFormattedCitation" : "8", "previouslyFormattedCitation" : "&lt;sup&gt;8&lt;/sup&gt;" }, "properties" : { "noteIndex" : 0 }, "schema" : "https://github.com/citation-style-language/schema/raw/master/csl-citation.json" }</w:instrText>
      </w:r>
      <w:r w:rsidR="00BF67A0" w:rsidRPr="00B32486">
        <w:rPr>
          <w:vertAlign w:val="superscript"/>
        </w:rPr>
        <w:fldChar w:fldCharType="separate"/>
      </w:r>
      <w:r w:rsidRPr="00230C5B">
        <w:rPr>
          <w:noProof/>
          <w:vertAlign w:val="superscript"/>
        </w:rPr>
        <w:t>8</w:t>
      </w:r>
      <w:r w:rsidR="00BF67A0" w:rsidRPr="00B32486">
        <w:rPr>
          <w:vertAlign w:val="superscript"/>
        </w:rPr>
        <w:fldChar w:fldCharType="end"/>
      </w:r>
      <w:r w:rsidRPr="00B32486">
        <w:rPr>
          <w:vertAlign w:val="superscript"/>
        </w:rPr>
        <w:t xml:space="preserve"> </w:t>
      </w:r>
    </w:p>
    <w:p w14:paraId="31447F9E" w14:textId="77777777" w:rsidR="00D37048" w:rsidRDefault="00D37048" w:rsidP="00D37048">
      <w:pPr>
        <w:rPr>
          <w:rFonts w:ascii="Calibri" w:hAnsi="Calibri"/>
          <w:sz w:val="22"/>
          <w:szCs w:val="22"/>
          <w:lang w:bidi="en-US"/>
        </w:rPr>
      </w:pPr>
    </w:p>
    <w:p w14:paraId="2BE09FE6" w14:textId="77777777" w:rsidR="00F30637" w:rsidRDefault="00D37048">
      <w:pPr>
        <w:pStyle w:val="BasicParagraph"/>
      </w:pPr>
      <w:r>
        <w:t xml:space="preserve">These inequities are compounded by systemic and historic factors. The Federal Housing Administration’s practice of denying housing financing in neighborhoods based on their </w:t>
      </w:r>
      <w:r>
        <w:lastRenderedPageBreak/>
        <w:t>racial composition (known as “redlining”) and exclusionary racial covenants created a</w:t>
      </w:r>
      <w:r w:rsidR="00CC7545">
        <w:t xml:space="preserve"> </w:t>
      </w:r>
      <w:r>
        <w:t>pattern of systematic disinvestment, which led to blighted, economically depressed, and unhealthy neighborhoods.</w:t>
      </w:r>
      <w:r w:rsidR="00BF67A0">
        <w:fldChar w:fldCharType="begin" w:fldLock="1"/>
      </w:r>
      <w:r>
        <w:instrText>ADDIN CSL_CITATION { "citationItems" : [ { "id" : "ITEM-1", "itemData" : { "author" : [ { "dropping-particle" : "", "family" : "Phillips", "given" : "D", "non-dropping-particle" : "", "parse-names" : false, "suffix" : "" }, { "dropping-particle" : "", "family" : "Clark", "given" : "R", "non-dropping-particle" : "", "parse-names" : false, "suffix" : "" }, { "dropping-particle" : "", "family" : "Lee", "given" : "T", "non-dropping-particle" : "", "parse-names" : false, "suffix" : "" }, { "dropping-particle" : "", "family" : "Desautels", "given" : "A", "non-dropping-particle" : "", "parse-names" : false, "suffix" : "" } ], "id" : "ITEM-1", "issued" : { "date-parts" : [ [ "2014" ] ] }, "title" : "Restoring health: A Report on the Impact of Foreclosure on Public Health", "type" : "report" }, "uris" : [ "http://www.mendeley.com/documents/?uuid=59b4b222-e4ae-4a17-9c7f-2298572ddd06" ] } ], "mendeley" : { "formattedCitation" : "&lt;sup&gt;9&lt;/sup&gt;", "plainTextFormattedCitation" : "9", "previouslyFormattedCitation" : "&lt;sup&gt;9&lt;/sup&gt;" }, "properties" : { "noteIndex" : 0 }, "schema" : "https://github.com/citation-style-language/schema/raw/master/csl-citation.json" }</w:instrText>
      </w:r>
      <w:r w:rsidR="00BF67A0">
        <w:fldChar w:fldCharType="separate"/>
      </w:r>
      <w:r w:rsidRPr="00230C5B">
        <w:rPr>
          <w:noProof/>
          <w:vertAlign w:val="superscript"/>
        </w:rPr>
        <w:t>9</w:t>
      </w:r>
      <w:r w:rsidR="00BF67A0">
        <w:fldChar w:fldCharType="end"/>
      </w:r>
      <w:r>
        <w:t xml:space="preserve"> Racial housing segregation, which persists today despite changes in housing law, has negative effects on families’ health.</w:t>
      </w:r>
      <w:r w:rsidR="00BF67A0">
        <w:fldChar w:fldCharType="begin" w:fldLock="1"/>
      </w:r>
      <w:r>
        <w:instrText>ADDIN CSL_CITATION { "citationItems" : [ { "id" : "ITEM-1", "itemData" : { "DOI" : "10.1093/aje/kws372", "ISSN" : "1476-6256", "PMID" : "23337312", "abstract" : "We used cross-sectional data on 2,660 black and 2,611 Mexican-American adult participants in the National Health and Nutrition Examination Survey (1999-2006) to investigate the association between metropolitan-level racial/ethnic residential segregation and obesity and to determine whether it was mediated by the neighborhood socioeconomic environment. Residential segregation was measured using the black and Hispanic isolation indices. Neighborhood poverty and negative income incongruity were assessed as mediators. Multilevel Poisson regression with robust variance estimates was used to estimate prevalence ratios. There was no relationship between segregation and obesity among men. Among black women, in age-, nativity-, and metropolitan demographic-adjusted models, high segregation was associated with a 1.29 (95% confidence interval (CI): 1.00, 1.65) times higher obesity prevalence than was low segregation; medium segregation was associated with a 1.35 (95% CI: 1.07, 1.70) times higher obesity prevalence. Mexican-American women living in high versus low segregation areas had a significantly lower obesity prevalence (prevalence ratio, 0.54; 95% CI: 0.33, 0.90), but there was no difference between those living in medium versus low segregation areas. These associations were not mediated by neighborhood poverty or negative income incongruity. These findings suggest variability in the interrelationships between residential segregation and obesity for black and Mexican-American women.", "author" : [ { "dropping-particle" : "", "family" : "Kershaw", "given" : "Kiarri N", "non-dropping-particle" : "", "parse-names" : false, "suffix" : "" }, { "dropping-particle" : "", "family" : "Albrecht", "given" : "Sandra S", "non-dropping-particle" : "", "parse-names" : false, "suffix" : "" }, { "dropping-particle" : "", "family" : "Carnethon", "given" : "Mercedes R", "non-dropping-particle" : "", "parse-names" : false, "suffix" : "" } ], "container-title" : "American journal of epidemiology", "id" : "ITEM-1", "issue" : "4", "issued" : { "date-parts" : [ [ "2013", "2", "15" ] ] }, "page" : "299-309", "title" : "Racial and ethnic residential segregation, the neighborhood socioeconomic environment, and obesity among Blacks and Mexican Americans.", "type" : "article-journal", "volume" : "177" }, "uris" : [ "http://www.mendeley.com/documents/?uuid=0123314f-085c-40ac-b5b0-39d78c5f8e44" ] } ], "mendeley" : { "formattedCitation" : "&lt;sup&gt;10&lt;/sup&gt;", "plainTextFormattedCitation" : "10", "previouslyFormattedCitation" : "&lt;sup&gt;10&lt;/sup&gt;" }, "properties" : { "noteIndex" : 0 }, "schema" : "https://github.com/citation-style-language/schema/raw/master/csl-citation.json" }</w:instrText>
      </w:r>
      <w:r w:rsidR="00BF67A0">
        <w:fldChar w:fldCharType="separate"/>
      </w:r>
      <w:r w:rsidRPr="002C0FF1">
        <w:rPr>
          <w:noProof/>
          <w:vertAlign w:val="superscript"/>
        </w:rPr>
        <w:t>10</w:t>
      </w:r>
      <w:r w:rsidR="00BF67A0">
        <w:fldChar w:fldCharType="end"/>
      </w:r>
      <w:r>
        <w:t xml:space="preserve"> Ac</w:t>
      </w:r>
      <w:r w:rsidRPr="00A259AD">
        <w:t xml:space="preserve">cess to </w:t>
      </w:r>
      <w:r w:rsidRPr="00A259AD" w:rsidDel="0083502A">
        <w:t>af</w:t>
      </w:r>
      <w:r w:rsidRPr="00A259AD">
        <w:t xml:space="preserve">fordable </w:t>
      </w:r>
    </w:p>
    <w:p w14:paraId="636309AD" w14:textId="77777777" w:rsidR="00184A59" w:rsidRDefault="00D37048" w:rsidP="00A976BF">
      <w:pPr>
        <w:pStyle w:val="BasicParagraph"/>
        <w:rPr>
          <w:rFonts w:asciiTheme="majorHAnsi" w:hAnsiTheme="majorHAnsi"/>
        </w:rPr>
      </w:pPr>
      <w:proofErr w:type="gramStart"/>
      <w:r w:rsidRPr="00A259AD">
        <w:t>rental</w:t>
      </w:r>
      <w:proofErr w:type="gramEnd"/>
      <w:r w:rsidRPr="00A259AD">
        <w:t xml:space="preserve"> housing throughout a city or region provides </w:t>
      </w:r>
      <w:r>
        <w:t>households</w:t>
      </w:r>
      <w:r w:rsidRPr="00A259AD">
        <w:t xml:space="preserve"> with more control over where they can live</w:t>
      </w:r>
      <w:r>
        <w:t>, and may reduce segregation</w:t>
      </w:r>
      <w:r w:rsidRPr="00A259AD">
        <w:t xml:space="preserve">. </w:t>
      </w:r>
      <w:r w:rsidRPr="003C3251">
        <w:t>Self-determination is important to all people, but an increased sense of agency has been shown to be especially important to the health and well-being of people struggling to make ends meet.</w:t>
      </w:r>
      <w:r w:rsidR="00BF67A0">
        <w:fldChar w:fldCharType="begin" w:fldLock="1"/>
      </w:r>
      <w:r>
        <w:instrText>ADDIN CSL_CITATION { "citationItems" : [ { "id" : "ITEM-1", "itemData" : { "abstract" : "The authors examined social class differences in 2 aspects of the sense of control (mastery and perceived constraints) in 3 national probability samples of men and women ages 25\u201375 years (N\u2081 = 1,014; N\u2082 = 1,195; N\u2083 = 3,485). Participants with lower income had lower perceived mastery and higher perceived constraints, as well as poorer health. Results of hierarchical multiple regression analyses showed that for all income groups, higher perceived mastery and lower perceived constraints were related to better health, greater life satisfaction, and lower depressive symptoms. However, control beliefs played a moderating role; participants in the lowest income group with a high sense of control showed levels of health and well-being comparable with the higher income groups. The results provided some evidence that psychosocial variables such as sense of control may be useful in understanding social class differences in health. (PsycINFO Database Record (c) 2012 APA, all rights reserved)", "author" : [ { "dropping-particle" : "", "family" : "Lachman", "given" : "Margie E", "non-dropping-particle" : "", "parse-names" : false, "suffix" : "" }, { "dropping-particle" : "", "family" : "Weaver", "given" : "Suzanne L.", "non-dropping-particle" : "", "parse-names" : false, "suffix" : "" } ], "container-title" : "Journal of Personality and Social Psychology", "id" : "ITEM-1", "issue" : "3", "issued" : { "date-parts" : [ [ "1998" ] ] }, "page" : "763-773", "title" : "The sense of control as a moderator of social class differences in health and well-being.", "type" : "article-journal", "volume" : "74" }, "uris" : [ "http://www.mendeley.com/documents/?uuid=746934d2-ac3e-4d45-a19e-2f818bf82c69" ] } ], "mendeley" : { "formattedCitation" : "&lt;sup&gt;11&lt;/sup&gt;", "plainTextFormattedCitation" : "11" }, "properties" : { "noteIndex" : 0 }, "schema" : "https://github.com/citation-style-language/schema/raw/master/csl-citation.json" }</w:instrText>
      </w:r>
      <w:r w:rsidR="00BF67A0">
        <w:fldChar w:fldCharType="separate"/>
      </w:r>
      <w:r w:rsidRPr="003C3251">
        <w:rPr>
          <w:noProof/>
          <w:vertAlign w:val="superscript"/>
        </w:rPr>
        <w:t>11</w:t>
      </w:r>
      <w:r w:rsidR="00BF67A0">
        <w:fldChar w:fldCharType="end"/>
      </w:r>
      <w:r w:rsidRPr="00CA2C6D">
        <w:rPr>
          <w:rStyle w:val="CommentReference"/>
          <w:vertAlign w:val="superscript"/>
        </w:rPr>
        <w:t xml:space="preserve"> </w:t>
      </w:r>
    </w:p>
    <w:p w14:paraId="69772ADB" w14:textId="77777777" w:rsidR="00184A59" w:rsidRDefault="00184A59" w:rsidP="00A976BF">
      <w:pPr>
        <w:pStyle w:val="BasicParagraph"/>
      </w:pPr>
    </w:p>
    <w:p w14:paraId="1BB3FAD0" w14:textId="77777777" w:rsidR="00184A59" w:rsidRDefault="00D37048" w:rsidP="00A976BF">
      <w:pPr>
        <w:pStyle w:val="BasicParagraph"/>
        <w:rPr>
          <w:vertAlign w:val="superscript"/>
        </w:rPr>
      </w:pPr>
      <w:r w:rsidRPr="00E9578D">
        <w:t>To create quality</w:t>
      </w:r>
      <w:r>
        <w:t xml:space="preserve"> and</w:t>
      </w:r>
      <w:r w:rsidRPr="00E9578D">
        <w:t xml:space="preserve"> healthy housing for residents</w:t>
      </w:r>
      <w:r>
        <w:t>,</w:t>
      </w:r>
      <w:r w:rsidRPr="00E9578D">
        <w:t xml:space="preserve"> and </w:t>
      </w:r>
      <w:r>
        <w:t xml:space="preserve">to </w:t>
      </w:r>
      <w:r w:rsidRPr="00E9578D">
        <w:t>combat the effects of past discriminatory practices</w:t>
      </w:r>
      <w:r>
        <w:t xml:space="preserve">, communities should consider using equity as a lens throughout the housing planning process. </w:t>
      </w:r>
      <w:r w:rsidRPr="00B32486">
        <w:t xml:space="preserve">A carefully crafted healthy housing element can help uplift underserved </w:t>
      </w:r>
      <w:r>
        <w:t>communities, improve</w:t>
      </w:r>
      <w:r w:rsidRPr="00B32486">
        <w:t xml:space="preserve"> individual health outcomes, </w:t>
      </w:r>
      <w:r>
        <w:t xml:space="preserve">develop </w:t>
      </w:r>
      <w:r w:rsidRPr="00B32486">
        <w:t>more resilient families, and reduc</w:t>
      </w:r>
      <w:r>
        <w:t>e</w:t>
      </w:r>
      <w:r w:rsidRPr="00B32486">
        <w:t xml:space="preserve"> costs in shelter services and health care.</w:t>
      </w:r>
      <w:r>
        <w:t xml:space="preserve"> </w:t>
      </w:r>
    </w:p>
    <w:p w14:paraId="62A9BC93" w14:textId="77777777" w:rsidR="00D37048" w:rsidRPr="00B32486" w:rsidRDefault="00D37048" w:rsidP="00D37048">
      <w:pPr>
        <w:pStyle w:val="Body"/>
        <w:spacing w:after="0" w:line="240" w:lineRule="auto"/>
      </w:pPr>
    </w:p>
    <w:p w14:paraId="24B44A64" w14:textId="77777777" w:rsidR="00CC7545" w:rsidRPr="00A976BF" w:rsidRDefault="00CC7545">
      <w:pPr>
        <w:spacing w:line="240" w:lineRule="auto"/>
        <w:rPr>
          <w:rFonts w:ascii="Times New Roman Bold" w:hAnsi="Times New Roman Bold"/>
          <w:color w:val="02598B"/>
          <w:sz w:val="4"/>
          <w:szCs w:val="26"/>
        </w:rPr>
      </w:pPr>
      <w:r>
        <w:rPr>
          <w:color w:val="02598B"/>
          <w:sz w:val="28"/>
        </w:rPr>
        <w:br w:type="page"/>
      </w:r>
    </w:p>
    <w:p w14:paraId="3396A2E3" w14:textId="77777777" w:rsidR="00184A59" w:rsidRPr="00A976BF" w:rsidRDefault="00BF67A0" w:rsidP="00A976BF">
      <w:pPr>
        <w:pStyle w:val="Heading3"/>
        <w:rPr>
          <w:caps/>
          <w:color w:val="02598B"/>
          <w:sz w:val="28"/>
        </w:rPr>
      </w:pPr>
      <w:r w:rsidRPr="00A976BF">
        <w:rPr>
          <w:color w:val="02598B"/>
          <w:sz w:val="28"/>
        </w:rPr>
        <w:lastRenderedPageBreak/>
        <w:t>Incorporating Health Into Housing Needs Assessments</w:t>
      </w:r>
    </w:p>
    <w:p w14:paraId="34F3C006" w14:textId="77777777" w:rsidR="00184A59" w:rsidRDefault="00D37048" w:rsidP="00A976BF">
      <w:pPr>
        <w:pStyle w:val="BasicParagraph"/>
      </w:pPr>
      <w:r w:rsidRPr="00B32486">
        <w:t xml:space="preserve">Collecting and analyzing detailed information about a community's housing environment </w:t>
      </w:r>
      <w:r>
        <w:t xml:space="preserve">through a “housing needs assessment” </w:t>
      </w:r>
      <w:r w:rsidRPr="00B32486">
        <w:t>helps inform the policies in the housing element, as well as other elements of the comprehensive plan.</w:t>
      </w:r>
      <w:r w:rsidRPr="00E373E9">
        <w:t xml:space="preserve"> </w:t>
      </w:r>
      <w:r>
        <w:t>State laws may direct how jurisdictions conduct housing needs assessments, as part of the development of a housing element.</w:t>
      </w:r>
      <w:r w:rsidR="00BF67A0" w:rsidRPr="00A976BF">
        <w:rPr>
          <w:rStyle w:val="FootnoteReference"/>
          <w:rFonts w:ascii="Calibri" w:hAnsi="Calibri"/>
          <w:sz w:val="22"/>
          <w:szCs w:val="22"/>
          <w:vertAlign w:val="baseline"/>
        </w:rPr>
        <w:footnoteReference w:id="2"/>
      </w:r>
    </w:p>
    <w:p w14:paraId="061A6CB1" w14:textId="77777777" w:rsidR="00184A59" w:rsidRDefault="00184A59" w:rsidP="00A976BF">
      <w:pPr>
        <w:pStyle w:val="BasicParagraph"/>
      </w:pPr>
    </w:p>
    <w:p w14:paraId="3EC872DB" w14:textId="77777777" w:rsidR="00184A59" w:rsidRDefault="00D37048" w:rsidP="00A976BF">
      <w:pPr>
        <w:pStyle w:val="BasicParagraph"/>
      </w:pPr>
      <w:r>
        <w:t>Ideally, a healthy housing element will be informed by a</w:t>
      </w:r>
      <w:r w:rsidRPr="00B32486">
        <w:t xml:space="preserve"> housing needs assessment </w:t>
      </w:r>
      <w:r>
        <w:t>that</w:t>
      </w:r>
      <w:r w:rsidRPr="00B32486">
        <w:t xml:space="preserve"> paint</w:t>
      </w:r>
      <w:r>
        <w:t>s</w:t>
      </w:r>
      <w:r w:rsidRPr="00B32486">
        <w:t xml:space="preserve"> a picture of the existing conditions and current context of a community</w:t>
      </w:r>
      <w:r>
        <w:t xml:space="preserve"> (including health outcomes), </w:t>
      </w:r>
      <w:r w:rsidRPr="00B32486">
        <w:t>and provide</w:t>
      </w:r>
      <w:r>
        <w:t>s</w:t>
      </w:r>
      <w:r w:rsidRPr="00B32486">
        <w:t xml:space="preserve"> a foundation for a community’s vision and goals. </w:t>
      </w:r>
      <w:r>
        <w:t>Health advocates may use the principles outlined here to augment the assessment process and ensure health is considered as part of data analysis.</w:t>
      </w:r>
      <w:r w:rsidRPr="008F2F7A">
        <w:t xml:space="preserve"> </w:t>
      </w:r>
    </w:p>
    <w:p w14:paraId="2AEB0A03" w14:textId="77777777" w:rsidR="00184A59" w:rsidRDefault="00184A59" w:rsidP="00A976BF">
      <w:pPr>
        <w:pStyle w:val="BasicParagraph"/>
      </w:pPr>
    </w:p>
    <w:p w14:paraId="15EBCF63" w14:textId="77777777" w:rsidR="00184A59" w:rsidRPr="00A976BF" w:rsidRDefault="00BF67A0" w:rsidP="00A976BF">
      <w:pPr>
        <w:pStyle w:val="BasicParagraph"/>
        <w:rPr>
          <w:spacing w:val="-2"/>
        </w:rPr>
      </w:pPr>
      <w:r w:rsidRPr="00A976BF">
        <w:rPr>
          <w:spacing w:val="-2"/>
        </w:rPr>
        <w:t xml:space="preserve">Housing needs assessments typically include an analysis of demographic and economic status and trends, using “baseline” (or current state) information as a basis for the establishment of new targets or goals. For example, assessments may be used to determine the number of new housing units needed for a particular demographic group, like low-income seniors. However, housing needs assessments can also provide an opportunity to use health data to augment and focus housing policy; for instance, taking childhood asthma hospitalization rates into account </w:t>
      </w:r>
      <w:r w:rsidR="00A976BF">
        <w:rPr>
          <w:spacing w:val="-2"/>
        </w:rPr>
        <w:t>can</w:t>
      </w:r>
      <w:r w:rsidRPr="00A976BF">
        <w:rPr>
          <w:spacing w:val="-2"/>
        </w:rPr>
        <w:t xml:space="preserve"> help set standards for improving indoor air quality. </w:t>
      </w:r>
    </w:p>
    <w:p w14:paraId="127FC895" w14:textId="77777777" w:rsidR="00184A59" w:rsidRDefault="00184A59" w:rsidP="00A976BF">
      <w:pPr>
        <w:pStyle w:val="BasicParagraph"/>
      </w:pPr>
    </w:p>
    <w:p w14:paraId="4B3EB7C5" w14:textId="77777777" w:rsidR="00184A59" w:rsidRDefault="00D37048" w:rsidP="00A976BF">
      <w:pPr>
        <w:pStyle w:val="BasicParagraph"/>
      </w:pPr>
      <w:r w:rsidRPr="00B32486">
        <w:t>Important questions to ask in the assessment:</w:t>
      </w:r>
    </w:p>
    <w:p w14:paraId="401CF0E2" w14:textId="77777777" w:rsidR="00D37048" w:rsidRPr="00B32486" w:rsidRDefault="00D37048" w:rsidP="00D37048">
      <w:pPr>
        <w:rPr>
          <w:rFonts w:ascii="Calibri" w:hAnsi="Calibri"/>
          <w:sz w:val="22"/>
          <w:szCs w:val="22"/>
        </w:rPr>
      </w:pPr>
    </w:p>
    <w:p w14:paraId="3151F2A8" w14:textId="77777777" w:rsidR="00184A59" w:rsidRDefault="00BF67A0" w:rsidP="00A976BF">
      <w:pPr>
        <w:pStyle w:val="bullets"/>
      </w:pPr>
      <w:r w:rsidRPr="00A976BF">
        <w:rPr>
          <w:b/>
        </w:rPr>
        <w:t>Do demographic characteristics drive any particular housing needs?</w:t>
      </w:r>
      <w:r w:rsidR="00D37048" w:rsidRPr="00AF054E">
        <w:t xml:space="preserve"> </w:t>
      </w:r>
      <w:proofErr w:type="gramStart"/>
      <w:r w:rsidR="00D37048" w:rsidRPr="00AF054E">
        <w:t xml:space="preserve">A community’s housing needs are shaped by its many constituencies, including families with children, low- and moderate-income households, seniors, </w:t>
      </w:r>
      <w:r w:rsidR="00D37048">
        <w:t xml:space="preserve">veterans, </w:t>
      </w:r>
      <w:r w:rsidR="00D37048" w:rsidRPr="00AF054E">
        <w:t>people with special needs, and the homeless</w:t>
      </w:r>
      <w:proofErr w:type="gramEnd"/>
      <w:r w:rsidR="00D37048" w:rsidRPr="00AF054E">
        <w:t xml:space="preserve">. Each group may have particular health considerations connected </w:t>
      </w:r>
      <w:r w:rsidR="00D37048">
        <w:t>with</w:t>
      </w:r>
      <w:r w:rsidR="00D37048" w:rsidRPr="00AF054E">
        <w:t xml:space="preserve"> their housing needs.</w:t>
      </w:r>
    </w:p>
    <w:p w14:paraId="2FD6E7BB" w14:textId="77777777" w:rsidR="00184A59" w:rsidRDefault="00BF67A0" w:rsidP="00A976BF">
      <w:pPr>
        <w:pStyle w:val="bullets"/>
      </w:pPr>
      <w:r w:rsidRPr="00A976BF">
        <w:rPr>
          <w:b/>
        </w:rPr>
        <w:t>Do economic characteristics drive any particular housing needs?</w:t>
      </w:r>
      <w:r w:rsidR="00D37048" w:rsidRPr="00B32486">
        <w:t xml:space="preserve"> Consider residents’ income</w:t>
      </w:r>
      <w:r w:rsidR="00D37048">
        <w:t xml:space="preserve"> levels</w:t>
      </w:r>
      <w:r w:rsidR="00D37048" w:rsidRPr="00B32486">
        <w:t>, employment trends (e.g., are many residents commuting into the locality because they can’t afford to live where they work, or having to commute out of the locality to get to qu</w:t>
      </w:r>
      <w:r w:rsidR="00D37048">
        <w:t>ality jobs?), and market analyse</w:t>
      </w:r>
      <w:r w:rsidR="00D37048" w:rsidRPr="00B32486">
        <w:t>s.</w:t>
      </w:r>
      <w:r w:rsidR="00D37048">
        <w:t xml:space="preserve"> Determine the affordable housing needs of the community by:</w:t>
      </w:r>
    </w:p>
    <w:p w14:paraId="6284BC76" w14:textId="77777777" w:rsidR="00184A59" w:rsidRDefault="00D37048" w:rsidP="00A976BF">
      <w:pPr>
        <w:pStyle w:val="bullets"/>
        <w:numPr>
          <w:ilvl w:val="1"/>
          <w:numId w:val="7"/>
        </w:numPr>
      </w:pPr>
      <w:r>
        <w:t>Assessing the availability of and need for affordable housing, including areas where affordable housing shortages are increasing, or if there are increases in eviction rates and the reasons for those evictions; and</w:t>
      </w:r>
    </w:p>
    <w:p w14:paraId="193ED84E" w14:textId="77777777" w:rsidR="00184A59" w:rsidRDefault="00D37048" w:rsidP="00A976BF">
      <w:pPr>
        <w:pStyle w:val="bullets"/>
        <w:numPr>
          <w:ilvl w:val="1"/>
          <w:numId w:val="7"/>
        </w:numPr>
      </w:pPr>
      <w:r>
        <w:t xml:space="preserve">Determining which populations </w:t>
      </w:r>
      <w:proofErr w:type="gramStart"/>
      <w:r>
        <w:t>are</w:t>
      </w:r>
      <w:proofErr w:type="gramEnd"/>
      <w:r>
        <w:t xml:space="preserve"> affected by affordable housing shortages and suffer the resulting health effects of those shortage</w:t>
      </w:r>
      <w:r w:rsidR="0052296C">
        <w:t>s.</w:t>
      </w:r>
    </w:p>
    <w:p w14:paraId="1AFCEF38" w14:textId="77777777" w:rsidR="00184A59" w:rsidRDefault="00BF67A0" w:rsidP="00A976BF">
      <w:pPr>
        <w:pStyle w:val="bullets"/>
        <w:spacing w:after="240"/>
      </w:pPr>
      <w:r w:rsidRPr="00A976BF">
        <w:rPr>
          <w:b/>
        </w:rPr>
        <w:lastRenderedPageBreak/>
        <w:t>Do housing supply characteristics drive any particular housing needs?</w:t>
      </w:r>
      <w:r w:rsidR="00D37048">
        <w:t xml:space="preserve"> </w:t>
      </w:r>
      <w:r w:rsidR="00D37048" w:rsidRPr="00B32486">
        <w:t>Consider housing tenure (rented or owner-occupied), vacancy, overcrowding, age, cost/affordability), emergency housing availability, quality and safety of housing units, and subsidized and unsubsidized housing.</w:t>
      </w:r>
    </w:p>
    <w:p w14:paraId="74720ABC" w14:textId="77777777" w:rsidR="00184A59" w:rsidRDefault="00D37048" w:rsidP="00A976BF">
      <w:pPr>
        <w:pStyle w:val="BasicParagraph"/>
      </w:pPr>
      <w:r>
        <w:t>Many public health departments conduct community health needs assessments (CHNAs) to better understand the needs of the communities they serve. These assessments may take housing into account, and could be a source of relevant data to contribute to a housing needs assessment.</w:t>
      </w:r>
    </w:p>
    <w:p w14:paraId="5612D4DE" w14:textId="77777777" w:rsidR="00184A59" w:rsidRDefault="00184A59" w:rsidP="00A976BF">
      <w:pPr>
        <w:pStyle w:val="BasicParagraph"/>
      </w:pPr>
    </w:p>
    <w:p w14:paraId="2B7D2B2E" w14:textId="77777777" w:rsidR="00184A59" w:rsidRPr="00A976BF" w:rsidRDefault="00BF67A0" w:rsidP="00A976BF">
      <w:pPr>
        <w:pStyle w:val="BasicParagraph"/>
        <w:rPr>
          <w:spacing w:val="-2"/>
        </w:rPr>
      </w:pPr>
      <w:r w:rsidRPr="00A976BF">
        <w:rPr>
          <w:spacing w:val="-2"/>
        </w:rPr>
        <w:t>In addition to an analysis of current conditions and future trends, communities should also assess previous housing elements’ implementation successes and challenges. A jurisdiction should also include a plan for evaluating the achievement of its vision and goals in response to changing community conditions going forward. The City of Santa Clara, CA, for example, includes an analysis of previous policies that reviews the implementation process, funding sources and amounts received, whether the program has been successful (and why or why not), whether the program meets a community need, whether it is recommended that the program continue, and how the program could be changed to be more successful.</w:t>
      </w:r>
      <w:r w:rsidRPr="00A976BF">
        <w:rPr>
          <w:spacing w:val="-2"/>
        </w:rPr>
        <w:fldChar w:fldCharType="begin" w:fldLock="1"/>
      </w:r>
      <w:r w:rsidRPr="00A976BF">
        <w:rPr>
          <w:spacing w:val="-2"/>
        </w:rPr>
        <w:instrText>ADDIN CSL_CITATION { "citationItems" : [ { "id" : "ITEM-1", "itemData" : { "author" : [ { "dropping-particle" : "", "family" : "City of Santa Clara", "given" : "", "non-dropping-particle" : "", "parse-names" : false, "suffix" : "" } ], "id" : "ITEM-1", "issued" : { "date-parts" : [ [ "2014" ] ] }, "title" : "City of Santa Clara Draft Housing Element", "type" : "report" }, "uris" : [ "http://www.mendeley.com/documents/?uuid=45394800-447f-4e88-b75f-428d6d9da2e7" ] } ], "mendeley" : { "formattedCitation" : "&lt;sup&gt;12&lt;/sup&gt;", "plainTextFormattedCitation" : "12", "previouslyFormattedCitation" : "&lt;sup&gt;11&lt;/sup&gt;" }, "properties" : { "noteIndex" : 0 }, "schema" : "https://github.com/citation-style-language/schema/raw/master/csl-citation.json" }</w:instrText>
      </w:r>
      <w:r w:rsidRPr="00A976BF">
        <w:rPr>
          <w:spacing w:val="-2"/>
        </w:rPr>
        <w:fldChar w:fldCharType="separate"/>
      </w:r>
      <w:r w:rsidRPr="00A976BF">
        <w:rPr>
          <w:noProof/>
          <w:spacing w:val="-2"/>
          <w:vertAlign w:val="superscript"/>
        </w:rPr>
        <w:t>12</w:t>
      </w:r>
      <w:r w:rsidRPr="00A976BF">
        <w:rPr>
          <w:spacing w:val="-2"/>
        </w:rPr>
        <w:fldChar w:fldCharType="end"/>
      </w:r>
    </w:p>
    <w:p w14:paraId="7BEE5814" w14:textId="77777777" w:rsidR="00D37048" w:rsidRPr="00B32486" w:rsidRDefault="00D37048" w:rsidP="00D37048">
      <w:pPr>
        <w:pStyle w:val="Body"/>
        <w:spacing w:after="0" w:line="240" w:lineRule="auto"/>
      </w:pPr>
    </w:p>
    <w:p w14:paraId="01B5E557" w14:textId="77777777" w:rsidR="00CC7545" w:rsidRDefault="00CC7545">
      <w:pPr>
        <w:spacing w:line="240" w:lineRule="auto"/>
        <w:rPr>
          <w:rFonts w:ascii="Times New Roman Bold" w:hAnsi="Times New Roman Bold"/>
          <w:color w:val="02598B"/>
          <w:sz w:val="28"/>
          <w:szCs w:val="26"/>
        </w:rPr>
      </w:pPr>
    </w:p>
    <w:p w14:paraId="3A2BE7A3" w14:textId="77777777" w:rsidR="00CC7545" w:rsidRDefault="00CC7545">
      <w:pPr>
        <w:pStyle w:val="Heading3"/>
        <w:spacing w:after="0"/>
        <w:rPr>
          <w:color w:val="02598B"/>
          <w:spacing w:val="-2"/>
          <w:sz w:val="28"/>
        </w:rPr>
      </w:pPr>
    </w:p>
    <w:p w14:paraId="4162386D" w14:textId="77777777" w:rsidR="00CC7545" w:rsidRDefault="00CC7545">
      <w:pPr>
        <w:pStyle w:val="Heading3"/>
        <w:spacing w:after="0"/>
        <w:rPr>
          <w:color w:val="02598B"/>
          <w:spacing w:val="-2"/>
          <w:sz w:val="28"/>
        </w:rPr>
      </w:pPr>
    </w:p>
    <w:p w14:paraId="701B80C4" w14:textId="77777777" w:rsidR="00CC7545" w:rsidRPr="00A976BF" w:rsidRDefault="00CC7545">
      <w:pPr>
        <w:spacing w:line="240" w:lineRule="auto"/>
        <w:rPr>
          <w:rFonts w:ascii="Times New Roman Bold" w:hAnsi="Times New Roman Bold"/>
          <w:color w:val="02598B"/>
          <w:spacing w:val="-2"/>
          <w:sz w:val="4"/>
          <w:szCs w:val="26"/>
        </w:rPr>
      </w:pPr>
      <w:r>
        <w:rPr>
          <w:color w:val="02598B"/>
          <w:spacing w:val="-2"/>
          <w:sz w:val="28"/>
        </w:rPr>
        <w:br w:type="page"/>
      </w:r>
    </w:p>
    <w:p w14:paraId="6A27D0DE" w14:textId="77777777" w:rsidR="00184A59" w:rsidRPr="00A976BF" w:rsidRDefault="00BF67A0" w:rsidP="00A976BF">
      <w:pPr>
        <w:pStyle w:val="Heading3"/>
        <w:rPr>
          <w:caps/>
          <w:color w:val="02598B"/>
          <w:sz w:val="28"/>
        </w:rPr>
      </w:pPr>
      <w:r w:rsidRPr="00A976BF">
        <w:rPr>
          <w:color w:val="02598B"/>
          <w:spacing w:val="-2"/>
          <w:sz w:val="28"/>
        </w:rPr>
        <w:lastRenderedPageBreak/>
        <w:t>Understanding the Plan: Vision, Goals, Objectives, and Policies</w:t>
      </w:r>
    </w:p>
    <w:p w14:paraId="1484C39F" w14:textId="77777777" w:rsidR="00184A59" w:rsidRDefault="00D37048" w:rsidP="00A976BF">
      <w:pPr>
        <w:pStyle w:val="BasicParagraph"/>
        <w:spacing w:after="240"/>
      </w:pPr>
      <w:bookmarkStart w:id="0" w:name="_GoBack"/>
      <w:r>
        <w:t>General</w:t>
      </w:r>
      <w:bookmarkEnd w:id="0"/>
      <w:r>
        <w:t>ly, c</w:t>
      </w:r>
      <w:r w:rsidRPr="00B32486">
        <w:t>omprehensive plans are organized under an overarching vision with related goals, objectives, and polic</w:t>
      </w:r>
      <w:r>
        <w:t>ies</w:t>
      </w:r>
      <w:r w:rsidRPr="00B32486">
        <w:t xml:space="preserve"> or action steps. This model uses the</w:t>
      </w:r>
      <w:r>
        <w:t xml:space="preserve"> following </w:t>
      </w:r>
      <w:r w:rsidRPr="00B32486">
        <w:t xml:space="preserve">terms, </w:t>
      </w:r>
      <w:r>
        <w:t>which</w:t>
      </w:r>
      <w:r w:rsidRPr="00B32486">
        <w:t xml:space="preserve"> should be adapted where appropriate. For specific plans, content can be organized in a number of formats</w:t>
      </w:r>
      <w:r>
        <w:t>,</w:t>
      </w:r>
      <w:r w:rsidRPr="00B32486">
        <w:t xml:space="preserve"> but should include the following information to maximize clarity and accountability: vision, goal, policy, program, rationale (discuss</w:t>
      </w:r>
      <w:r>
        <w:t>ing</w:t>
      </w:r>
      <w:r w:rsidRPr="00B32486">
        <w:t xml:space="preserve"> health implications), responsible</w:t>
      </w:r>
      <w:r>
        <w:t xml:space="preserve"> implementing</w:t>
      </w:r>
      <w:r w:rsidRPr="00B32486">
        <w:t xml:space="preserve"> body, funding source, and time frame.</w:t>
      </w:r>
    </w:p>
    <w:p w14:paraId="44515E9D" w14:textId="77777777" w:rsidR="00184A59" w:rsidRDefault="009653B8" w:rsidP="00A976BF">
      <w:pPr>
        <w:pStyle w:val="BasicParagraph"/>
      </w:pPr>
      <w:r w:rsidRPr="00B32486">
        <w:t>We encourage you to tailor the policy and action items to local needs, concerns, and conditions, and to provide additional implementation information</w:t>
      </w:r>
      <w:r>
        <w:t>,</w:t>
      </w:r>
      <w:r w:rsidRPr="00B32486">
        <w:t xml:space="preserve"> such as community context, a timeline, </w:t>
      </w:r>
      <w:r>
        <w:t xml:space="preserve">a </w:t>
      </w:r>
      <w:r w:rsidRPr="00B32486">
        <w:t xml:space="preserve">funding source, and the agency or department responsible. </w:t>
      </w:r>
    </w:p>
    <w:p w14:paraId="00A77B31" w14:textId="77777777" w:rsidR="00184A59" w:rsidRPr="00A976BF" w:rsidRDefault="00CC7545" w:rsidP="00A976BF">
      <w:pPr>
        <w:pStyle w:val="BasicParagraph"/>
        <w:tabs>
          <w:tab w:val="left" w:pos="2304"/>
        </w:tabs>
        <w:rPr>
          <w:sz w:val="16"/>
        </w:rPr>
      </w:pPr>
      <w:r>
        <w:tab/>
      </w:r>
    </w:p>
    <w:tbl>
      <w:tblPr>
        <w:tblStyle w:val="LightShading1"/>
        <w:tblW w:w="0" w:type="auto"/>
        <w:tblBorders>
          <w:bottom w:val="single" w:sz="4" w:space="0" w:color="000000" w:themeColor="text1"/>
          <w:insideH w:val="single" w:sz="4" w:space="0" w:color="000000" w:themeColor="text1"/>
        </w:tblBorders>
        <w:tblLook w:val="04A0" w:firstRow="1" w:lastRow="0" w:firstColumn="1" w:lastColumn="0" w:noHBand="0" w:noVBand="1"/>
      </w:tblPr>
      <w:tblGrid>
        <w:gridCol w:w="1818"/>
        <w:gridCol w:w="7211"/>
      </w:tblGrid>
      <w:tr w:rsidR="00263605" w:rsidRPr="005D0260" w14:paraId="56284BCE" w14:textId="77777777" w:rsidTr="00A976B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029" w:type="dxa"/>
            <w:gridSpan w:val="2"/>
            <w:tcBorders>
              <w:top w:val="nil"/>
              <w:left w:val="none" w:sz="0" w:space="0" w:color="auto"/>
              <w:bottom w:val="nil"/>
              <w:right w:val="none" w:sz="0" w:space="0" w:color="auto"/>
            </w:tcBorders>
            <w:shd w:val="clear" w:color="auto" w:fill="808080" w:themeFill="background1" w:themeFillShade="80"/>
          </w:tcPr>
          <w:p w14:paraId="342DA539" w14:textId="4CEC865C" w:rsidR="00D958E8" w:rsidRPr="00A976BF" w:rsidRDefault="00BF67A0" w:rsidP="007B0D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olor w:val="FFFFFF" w:themeColor="background1"/>
                <w:sz w:val="20"/>
                <w:szCs w:val="22"/>
              </w:rPr>
            </w:pPr>
            <w:r w:rsidRPr="00A976BF">
              <w:rPr>
                <w:rFonts w:ascii="Arial" w:hAnsi="Arial"/>
                <w:color w:val="FFFFFF" w:themeColor="background1"/>
                <w:sz w:val="20"/>
                <w:szCs w:val="22"/>
              </w:rPr>
              <w:t xml:space="preserve">Glossary of </w:t>
            </w:r>
            <w:r w:rsidR="007B0D74">
              <w:rPr>
                <w:rFonts w:ascii="Arial" w:hAnsi="Arial"/>
                <w:color w:val="FFFFFF" w:themeColor="background1"/>
                <w:sz w:val="20"/>
                <w:szCs w:val="22"/>
              </w:rPr>
              <w:t>Comprehensive</w:t>
            </w:r>
            <w:r w:rsidRPr="00A976BF">
              <w:rPr>
                <w:rFonts w:ascii="Arial" w:hAnsi="Arial"/>
                <w:color w:val="FFFFFF" w:themeColor="background1"/>
                <w:sz w:val="20"/>
                <w:szCs w:val="22"/>
              </w:rPr>
              <w:t xml:space="preserve"> Plan Terms</w:t>
            </w:r>
          </w:p>
        </w:tc>
      </w:tr>
      <w:tr w:rsidR="00D37048" w:rsidRPr="00B32486" w14:paraId="6E9EFE34" w14:textId="77777777" w:rsidTr="00A97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il"/>
              <w:left w:val="none" w:sz="0" w:space="0" w:color="auto"/>
              <w:bottom w:val="nil"/>
              <w:right w:val="none" w:sz="0" w:space="0" w:color="auto"/>
            </w:tcBorders>
            <w:shd w:val="clear" w:color="auto" w:fill="D9D9D9" w:themeFill="background1" w:themeFillShade="D9"/>
          </w:tcPr>
          <w:p w14:paraId="62F109D8"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Goals</w:t>
            </w:r>
          </w:p>
        </w:tc>
        <w:tc>
          <w:tcPr>
            <w:tcW w:w="7211" w:type="dxa"/>
            <w:tcBorders>
              <w:top w:val="nil"/>
              <w:left w:val="none" w:sz="0" w:space="0" w:color="auto"/>
              <w:bottom w:val="nil"/>
              <w:right w:val="none" w:sz="0" w:space="0" w:color="auto"/>
            </w:tcBorders>
            <w:shd w:val="clear" w:color="auto" w:fill="D9D9D9" w:themeFill="background1" w:themeFillShade="D9"/>
          </w:tcPr>
          <w:p w14:paraId="54138A1F" w14:textId="68BE504F" w:rsidR="00184A59" w:rsidRPr="007B0D74"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0D74">
              <w:rPr>
                <w:rFonts w:ascii="Arial" w:hAnsi="Arial" w:cs="Arial"/>
                <w:sz w:val="18"/>
                <w:szCs w:val="18"/>
              </w:rPr>
              <w:t xml:space="preserve">Broad outcomes (which can be supported by an evidence-based rationale) to be achieved by implementing the </w:t>
            </w:r>
            <w:r w:rsidR="007B0D74" w:rsidRPr="007B0D74">
              <w:rPr>
                <w:rFonts w:ascii="Arial" w:hAnsi="Arial" w:cs="Arial"/>
                <w:sz w:val="18"/>
                <w:szCs w:val="18"/>
              </w:rPr>
              <w:t>comprehensive</w:t>
            </w:r>
            <w:r w:rsidRPr="007B0D74">
              <w:rPr>
                <w:rFonts w:ascii="Arial" w:hAnsi="Arial" w:cs="Arial"/>
                <w:sz w:val="18"/>
                <w:szCs w:val="18"/>
              </w:rPr>
              <w:t xml:space="preserve"> plan.</w:t>
            </w:r>
          </w:p>
          <w:p w14:paraId="0CA69B43"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i/>
                <w:sz w:val="18"/>
                <w:szCs w:val="22"/>
              </w:rPr>
            </w:pPr>
            <w:r w:rsidRPr="00A976BF">
              <w:rPr>
                <w:rFonts w:ascii="Arial" w:hAnsi="Arial"/>
                <w:i/>
                <w:sz w:val="18"/>
                <w:szCs w:val="22"/>
              </w:rPr>
              <w:t xml:space="preserve">Example: Residents will have access to housing that promotes individual and community health and </w:t>
            </w:r>
            <w:proofErr w:type="gramStart"/>
            <w:r w:rsidRPr="00A976BF">
              <w:rPr>
                <w:rFonts w:ascii="Arial" w:hAnsi="Arial"/>
                <w:i/>
                <w:sz w:val="18"/>
                <w:szCs w:val="22"/>
              </w:rPr>
              <w:t>well-being</w:t>
            </w:r>
            <w:proofErr w:type="gramEnd"/>
            <w:r w:rsidRPr="00A976BF">
              <w:rPr>
                <w:rFonts w:ascii="Arial" w:hAnsi="Arial"/>
                <w:i/>
                <w:sz w:val="18"/>
                <w:szCs w:val="22"/>
              </w:rPr>
              <w:t>.</w:t>
            </w:r>
          </w:p>
        </w:tc>
      </w:tr>
      <w:tr w:rsidR="00D37048" w:rsidRPr="00B32486" w14:paraId="6AB83943" w14:textId="77777777" w:rsidTr="00A976BF">
        <w:tc>
          <w:tcPr>
            <w:cnfStyle w:val="001000000000" w:firstRow="0" w:lastRow="0" w:firstColumn="1" w:lastColumn="0" w:oddVBand="0" w:evenVBand="0" w:oddHBand="0" w:evenHBand="0" w:firstRowFirstColumn="0" w:firstRowLastColumn="0" w:lastRowFirstColumn="0" w:lastRowLastColumn="0"/>
            <w:tcW w:w="1818" w:type="dxa"/>
            <w:tcBorders>
              <w:top w:val="nil"/>
              <w:bottom w:val="nil"/>
            </w:tcBorders>
          </w:tcPr>
          <w:p w14:paraId="648AF8D0"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Objectives</w:t>
            </w:r>
          </w:p>
        </w:tc>
        <w:tc>
          <w:tcPr>
            <w:tcW w:w="7211" w:type="dxa"/>
            <w:tcBorders>
              <w:top w:val="nil"/>
              <w:bottom w:val="nil"/>
            </w:tcBorders>
          </w:tcPr>
          <w:p w14:paraId="4278415E" w14:textId="3A044AE0"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sz w:val="18"/>
                <w:szCs w:val="22"/>
              </w:rPr>
            </w:pPr>
            <w:r w:rsidRPr="00A976BF">
              <w:rPr>
                <w:rFonts w:ascii="Arial" w:hAnsi="Arial"/>
                <w:sz w:val="18"/>
                <w:szCs w:val="22"/>
              </w:rPr>
              <w:t xml:space="preserve">Specific outcomes (unlike the more </w:t>
            </w:r>
            <w:r w:rsidR="007B0D74" w:rsidRPr="007B0D74">
              <w:rPr>
                <w:rFonts w:ascii="Arial" w:hAnsi="Arial" w:cs="Arial"/>
                <w:sz w:val="18"/>
                <w:szCs w:val="18"/>
              </w:rPr>
              <w:t>comprehensive</w:t>
            </w:r>
            <w:r w:rsidR="007B0D74" w:rsidRPr="00A976BF">
              <w:rPr>
                <w:rFonts w:ascii="Arial" w:hAnsi="Arial"/>
                <w:sz w:val="18"/>
                <w:szCs w:val="22"/>
              </w:rPr>
              <w:t xml:space="preserve"> </w:t>
            </w:r>
            <w:r w:rsidRPr="00A976BF">
              <w:rPr>
                <w:rFonts w:ascii="Arial" w:hAnsi="Arial"/>
                <w:sz w:val="18"/>
                <w:szCs w:val="22"/>
              </w:rPr>
              <w:t>goals) describing an (ideally measurable) end state.</w:t>
            </w:r>
          </w:p>
          <w:p w14:paraId="1A708C04"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i/>
                <w:sz w:val="18"/>
                <w:szCs w:val="22"/>
              </w:rPr>
            </w:pPr>
            <w:r w:rsidRPr="00A976BF">
              <w:rPr>
                <w:rFonts w:ascii="Arial" w:hAnsi="Arial"/>
                <w:i/>
                <w:sz w:val="18"/>
                <w:szCs w:val="22"/>
              </w:rPr>
              <w:t>Example: All neighborhoods have a mix of housing types to meet a diversity of income levels and household needs.</w:t>
            </w:r>
          </w:p>
        </w:tc>
      </w:tr>
      <w:tr w:rsidR="00D37048" w:rsidRPr="00B32486" w14:paraId="62DCE171" w14:textId="77777777" w:rsidTr="00A97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il"/>
              <w:left w:val="none" w:sz="0" w:space="0" w:color="auto"/>
              <w:bottom w:val="nil"/>
              <w:right w:val="none" w:sz="0" w:space="0" w:color="auto"/>
            </w:tcBorders>
            <w:shd w:val="clear" w:color="auto" w:fill="D9D9D9" w:themeFill="background1" w:themeFillShade="D9"/>
          </w:tcPr>
          <w:p w14:paraId="3879A7F1"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Policies</w:t>
            </w:r>
          </w:p>
        </w:tc>
        <w:tc>
          <w:tcPr>
            <w:tcW w:w="7211" w:type="dxa"/>
            <w:tcBorders>
              <w:top w:val="nil"/>
              <w:left w:val="none" w:sz="0" w:space="0" w:color="auto"/>
              <w:bottom w:val="nil"/>
              <w:right w:val="none" w:sz="0" w:space="0" w:color="auto"/>
            </w:tcBorders>
            <w:shd w:val="clear" w:color="auto" w:fill="D9D9D9" w:themeFill="background1" w:themeFillShade="D9"/>
          </w:tcPr>
          <w:p w14:paraId="2E2C91E8"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sz w:val="18"/>
                <w:szCs w:val="22"/>
              </w:rPr>
            </w:pPr>
            <w:r w:rsidRPr="00A976BF">
              <w:rPr>
                <w:rFonts w:ascii="Arial" w:hAnsi="Arial"/>
                <w:sz w:val="18"/>
                <w:szCs w:val="22"/>
              </w:rPr>
              <w:t xml:space="preserve">Statements that set out standards and guidelines to regularly inform city staff, the planning commission, and local elected officials as they make decisions. </w:t>
            </w:r>
          </w:p>
          <w:p w14:paraId="7EE64473"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i/>
                <w:sz w:val="18"/>
                <w:szCs w:val="22"/>
              </w:rPr>
            </w:pPr>
            <w:r w:rsidRPr="00A976BF">
              <w:rPr>
                <w:rFonts w:ascii="Arial" w:hAnsi="Arial"/>
                <w:i/>
                <w:sz w:val="18"/>
                <w:szCs w:val="22"/>
              </w:rPr>
              <w:t>Example: The City will prioritize infill development that will improve residents’ access to daily needs and services in underserved neighborhoods.</w:t>
            </w:r>
          </w:p>
        </w:tc>
      </w:tr>
      <w:tr w:rsidR="00D37048" w:rsidRPr="00B32486" w14:paraId="3D8B524F" w14:textId="77777777" w:rsidTr="00A976BF">
        <w:tc>
          <w:tcPr>
            <w:cnfStyle w:val="001000000000" w:firstRow="0" w:lastRow="0" w:firstColumn="1" w:lastColumn="0" w:oddVBand="0" w:evenVBand="0" w:oddHBand="0" w:evenHBand="0" w:firstRowFirstColumn="0" w:firstRowLastColumn="0" w:lastRowFirstColumn="0" w:lastRowLastColumn="0"/>
            <w:tcW w:w="1818" w:type="dxa"/>
            <w:tcBorders>
              <w:top w:val="nil"/>
              <w:bottom w:val="nil"/>
            </w:tcBorders>
          </w:tcPr>
          <w:p w14:paraId="4EC19B05"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Standards / Targets</w:t>
            </w:r>
          </w:p>
        </w:tc>
        <w:tc>
          <w:tcPr>
            <w:tcW w:w="7211" w:type="dxa"/>
            <w:tcBorders>
              <w:top w:val="nil"/>
              <w:bottom w:val="nil"/>
            </w:tcBorders>
          </w:tcPr>
          <w:p w14:paraId="7464E907"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sz w:val="18"/>
                <w:szCs w:val="22"/>
              </w:rPr>
            </w:pPr>
            <w:r w:rsidRPr="00A976BF">
              <w:rPr>
                <w:rFonts w:ascii="Arial" w:hAnsi="Arial"/>
                <w:sz w:val="18"/>
                <w:szCs w:val="22"/>
              </w:rPr>
              <w:t xml:space="preserve">Numeric objectives that define a desirable level or value of an indicator. </w:t>
            </w:r>
            <w:r w:rsidR="00CC7545">
              <w:rPr>
                <w:rFonts w:ascii="Arial" w:hAnsi="Arial"/>
                <w:sz w:val="18"/>
                <w:szCs w:val="22"/>
              </w:rPr>
              <w:t xml:space="preserve">           </w:t>
            </w:r>
            <w:r w:rsidRPr="00A976BF">
              <w:rPr>
                <w:rFonts w:ascii="Arial" w:hAnsi="Arial"/>
                <w:sz w:val="18"/>
                <w:szCs w:val="22"/>
              </w:rPr>
              <w:t>(Standards can also serve as policies.)</w:t>
            </w:r>
          </w:p>
          <w:p w14:paraId="5E4CA60E"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i/>
                <w:sz w:val="18"/>
                <w:szCs w:val="22"/>
              </w:rPr>
            </w:pPr>
            <w:r w:rsidRPr="00A976BF">
              <w:rPr>
                <w:rFonts w:ascii="Arial" w:hAnsi="Arial"/>
                <w:i/>
                <w:sz w:val="18"/>
                <w:szCs w:val="22"/>
              </w:rPr>
              <w:t>Example: All households live within a quarter-mile of a grocery store where fresh foods are available.</w:t>
            </w:r>
          </w:p>
        </w:tc>
      </w:tr>
      <w:tr w:rsidR="00D37048" w:rsidRPr="00B32486" w14:paraId="3406D8CB" w14:textId="77777777" w:rsidTr="00A97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il"/>
              <w:left w:val="none" w:sz="0" w:space="0" w:color="auto"/>
              <w:bottom w:val="nil"/>
              <w:right w:val="none" w:sz="0" w:space="0" w:color="auto"/>
            </w:tcBorders>
            <w:shd w:val="clear" w:color="auto" w:fill="D9D9D9" w:themeFill="background1" w:themeFillShade="D9"/>
          </w:tcPr>
          <w:p w14:paraId="24E177C5"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Plans / Programs / Actions</w:t>
            </w:r>
          </w:p>
        </w:tc>
        <w:tc>
          <w:tcPr>
            <w:tcW w:w="7211" w:type="dxa"/>
            <w:tcBorders>
              <w:top w:val="nil"/>
              <w:left w:val="none" w:sz="0" w:space="0" w:color="auto"/>
              <w:bottom w:val="nil"/>
              <w:right w:val="none" w:sz="0" w:space="0" w:color="auto"/>
            </w:tcBorders>
            <w:shd w:val="clear" w:color="auto" w:fill="D9D9D9" w:themeFill="background1" w:themeFillShade="D9"/>
          </w:tcPr>
          <w:p w14:paraId="78BC7696"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sz w:val="18"/>
                <w:szCs w:val="22"/>
              </w:rPr>
            </w:pPr>
            <w:r w:rsidRPr="00A976BF">
              <w:rPr>
                <w:rFonts w:ascii="Arial" w:hAnsi="Arial"/>
                <w:sz w:val="18"/>
                <w:szCs w:val="22"/>
              </w:rPr>
              <w:t>Governmental actions taken in pursuit of a goal.</w:t>
            </w:r>
          </w:p>
          <w:p w14:paraId="711E5745"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100000" w:firstRow="0" w:lastRow="0" w:firstColumn="0" w:lastColumn="0" w:oddVBand="0" w:evenVBand="0" w:oddHBand="1" w:evenHBand="0" w:firstRowFirstColumn="0" w:firstRowLastColumn="0" w:lastRowFirstColumn="0" w:lastRowLastColumn="0"/>
              <w:rPr>
                <w:rFonts w:ascii="Arial" w:hAnsi="Arial"/>
                <w:i/>
                <w:sz w:val="18"/>
                <w:szCs w:val="22"/>
              </w:rPr>
            </w:pPr>
            <w:r w:rsidRPr="00A976BF">
              <w:rPr>
                <w:rFonts w:ascii="Arial" w:hAnsi="Arial"/>
                <w:i/>
                <w:sz w:val="18"/>
                <w:szCs w:val="22"/>
              </w:rPr>
              <w:t>Example: The jurisdiction will update zoning and subdivision ordinances to allow for construction of diverse housing types, such as accessory dwelling units and mixed-use development.</w:t>
            </w:r>
          </w:p>
        </w:tc>
      </w:tr>
      <w:tr w:rsidR="00D37048" w:rsidRPr="00B32486" w14:paraId="306DC5EF" w14:textId="77777777" w:rsidTr="00A976BF">
        <w:tc>
          <w:tcPr>
            <w:cnfStyle w:val="001000000000" w:firstRow="0" w:lastRow="0" w:firstColumn="1" w:lastColumn="0" w:oddVBand="0" w:evenVBand="0" w:oddHBand="0" w:evenHBand="0" w:firstRowFirstColumn="0" w:firstRowLastColumn="0" w:lastRowFirstColumn="0" w:lastRowLastColumn="0"/>
            <w:tcW w:w="1818" w:type="dxa"/>
            <w:tcBorders>
              <w:top w:val="nil"/>
              <w:bottom w:val="nil"/>
            </w:tcBorders>
          </w:tcPr>
          <w:p w14:paraId="05B7BECA"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18"/>
                <w:szCs w:val="22"/>
              </w:rPr>
            </w:pPr>
            <w:r w:rsidRPr="00A976BF">
              <w:rPr>
                <w:rFonts w:ascii="Arial" w:hAnsi="Arial"/>
                <w:sz w:val="18"/>
                <w:szCs w:val="22"/>
              </w:rPr>
              <w:t>Indicators / Baselines / Benchmarks</w:t>
            </w:r>
          </w:p>
        </w:tc>
        <w:tc>
          <w:tcPr>
            <w:tcW w:w="7211" w:type="dxa"/>
            <w:tcBorders>
              <w:top w:val="nil"/>
              <w:bottom w:val="nil"/>
            </w:tcBorders>
          </w:tcPr>
          <w:p w14:paraId="751EF318"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sz w:val="18"/>
                <w:szCs w:val="22"/>
              </w:rPr>
            </w:pPr>
            <w:r w:rsidRPr="00A976BF">
              <w:rPr>
                <w:rFonts w:ascii="Arial" w:hAnsi="Arial"/>
                <w:sz w:val="18"/>
                <w:szCs w:val="22"/>
              </w:rPr>
              <w:t>Measurable ways to assess progress toward a goal.</w:t>
            </w:r>
          </w:p>
          <w:p w14:paraId="3F60C3E6" w14:textId="3083893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sz w:val="18"/>
                <w:szCs w:val="22"/>
              </w:rPr>
            </w:pPr>
            <w:r w:rsidRPr="00A976BF">
              <w:rPr>
                <w:rFonts w:ascii="Arial" w:hAnsi="Arial"/>
                <w:sz w:val="18"/>
                <w:szCs w:val="22"/>
              </w:rPr>
              <w:t xml:space="preserve">(A baseline provides a current measurement of a given indicator against which future progress can be measured; a benchmark sets a target for the indicator as the </w:t>
            </w:r>
            <w:r w:rsidR="007B0D74" w:rsidRPr="007B0D74">
              <w:rPr>
                <w:rFonts w:ascii="Arial" w:hAnsi="Arial" w:cs="Arial"/>
                <w:sz w:val="18"/>
                <w:szCs w:val="18"/>
              </w:rPr>
              <w:t>comprehensive</w:t>
            </w:r>
            <w:r w:rsidR="007B0D74" w:rsidRPr="00A976BF">
              <w:rPr>
                <w:rFonts w:ascii="Arial" w:hAnsi="Arial"/>
                <w:sz w:val="18"/>
                <w:szCs w:val="22"/>
              </w:rPr>
              <w:t xml:space="preserve"> </w:t>
            </w:r>
            <w:r w:rsidRPr="00A976BF">
              <w:rPr>
                <w:rFonts w:ascii="Arial" w:hAnsi="Arial"/>
                <w:sz w:val="18"/>
                <w:szCs w:val="22"/>
              </w:rPr>
              <w:t>plan’s goals and policies are implemented.)</w:t>
            </w:r>
          </w:p>
          <w:p w14:paraId="7E4822D8" w14:textId="77777777" w:rsidR="00184A59" w:rsidRPr="00A976BF" w:rsidRDefault="00BF67A0" w:rsidP="00A976BF">
            <w:pPr>
              <w:pBdr>
                <w:top w:val="none" w:sz="0" w:space="0" w:color="auto"/>
                <w:left w:val="none" w:sz="0" w:space="0" w:color="auto"/>
                <w:bottom w:val="none" w:sz="0" w:space="0" w:color="auto"/>
                <w:right w:val="none" w:sz="0" w:space="0" w:color="auto"/>
                <w:between w:val="none" w:sz="0" w:space="0" w:color="auto"/>
                <w:bar w:val="none" w:sz="0" w:color="auto"/>
              </w:pBdr>
              <w:spacing w:after="40"/>
              <w:cnfStyle w:val="000000000000" w:firstRow="0" w:lastRow="0" w:firstColumn="0" w:lastColumn="0" w:oddVBand="0" w:evenVBand="0" w:oddHBand="0" w:evenHBand="0" w:firstRowFirstColumn="0" w:firstRowLastColumn="0" w:lastRowFirstColumn="0" w:lastRowLastColumn="0"/>
              <w:rPr>
                <w:rFonts w:ascii="Arial" w:hAnsi="Arial"/>
                <w:i/>
                <w:sz w:val="18"/>
                <w:szCs w:val="22"/>
              </w:rPr>
            </w:pPr>
            <w:r w:rsidRPr="00A976BF">
              <w:rPr>
                <w:rFonts w:ascii="Arial" w:hAnsi="Arial"/>
                <w:i/>
                <w:sz w:val="18"/>
                <w:szCs w:val="22"/>
              </w:rPr>
              <w:t xml:space="preserve">Example: Currently, about two percent of residents are chronically or periodically homeless. Implementation of this plan will strive to reduce this figure by at least half. </w:t>
            </w:r>
          </w:p>
        </w:tc>
      </w:tr>
    </w:tbl>
    <w:p w14:paraId="7E4F3943" w14:textId="77777777" w:rsidR="00ED28CE" w:rsidRDefault="00A976BF" w:rsidP="00223B99">
      <w:pPr>
        <w:pStyle w:val="BasicParagraph"/>
        <w:rPr>
          <w:sz w:val="32"/>
        </w:rPr>
      </w:pPr>
      <w:r>
        <w:rPr>
          <w:noProof/>
          <w:lang w:bidi="ar-SA"/>
        </w:rPr>
        <mc:AlternateContent>
          <mc:Choice Requires="wps">
            <w:drawing>
              <wp:anchor distT="0" distB="0" distL="114300" distR="114300" simplePos="0" relativeHeight="251670016" behindDoc="0" locked="0" layoutInCell="1" allowOverlap="1" wp14:anchorId="552331E8" wp14:editId="423E7B15">
                <wp:simplePos x="0" y="0"/>
                <wp:positionH relativeFrom="column">
                  <wp:posOffset>-150495</wp:posOffset>
                </wp:positionH>
                <wp:positionV relativeFrom="paragraph">
                  <wp:posOffset>257810</wp:posOffset>
                </wp:positionV>
                <wp:extent cx="5822950" cy="568325"/>
                <wp:effectExtent l="1905" t="3810" r="17145" b="12065"/>
                <wp:wrapTight wrapText="bothSides">
                  <wp:wrapPolygon edited="0">
                    <wp:start x="-113" y="0"/>
                    <wp:lineTo x="-113" y="21503"/>
                    <wp:lineTo x="21713" y="21503"/>
                    <wp:lineTo x="21713" y="0"/>
                    <wp:lineTo x="-113" y="0"/>
                  </wp:wrapPolygon>
                </wp:wrapTight>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68325"/>
                        </a:xfrm>
                        <a:prstGeom prst="rect">
                          <a:avLst/>
                        </a:prstGeom>
                        <a:solidFill>
                          <a:srgbClr val="E3EDEF"/>
                        </a:solidFill>
                        <a:ln w="6350">
                          <a:solidFill>
                            <a:schemeClr val="bg1">
                              <a:lumMod val="75000"/>
                              <a:lumOff val="0"/>
                            </a:schemeClr>
                          </a:solidFill>
                          <a:miter lim="800000"/>
                          <a:headEnd/>
                          <a:tailEnd/>
                        </a:ln>
                      </wps:spPr>
                      <wps:txbx>
                        <w:txbxContent>
                          <w:p w14:paraId="4FF77C85" w14:textId="77777777" w:rsidR="00184A59" w:rsidRPr="00A976BF" w:rsidRDefault="00BF67A0">
                            <w:pPr>
                              <w:rPr>
                                <w:rFonts w:ascii="Arial Italic" w:hAnsi="Arial Italic"/>
                                <w:spacing w:val="-2"/>
                                <w:sz w:val="20"/>
                              </w:rPr>
                            </w:pPr>
                            <w:r w:rsidRPr="00A976BF">
                              <w:rPr>
                                <w:rFonts w:ascii="Arial Italic" w:hAnsi="Arial Italic"/>
                                <w:spacing w:val="-2"/>
                                <w:sz w:val="20"/>
                              </w:rPr>
                              <w:t xml:space="preserve">Additional resources are available online at: </w:t>
                            </w:r>
                            <w:r w:rsidRPr="00A976BF">
                              <w:rPr>
                                <w:rFonts w:ascii="Arial Italic" w:hAnsi="Arial Italic"/>
                                <w:color w:val="00598D"/>
                                <w:spacing w:val="-2"/>
                                <w:sz w:val="20"/>
                              </w:rPr>
                              <w:t>www.changelabsolutions.org/landing-page/participating-planning-process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 o:spid="_x0000_s1032" type="#_x0000_t202" style="position:absolute;margin-left:-11.8pt;margin-top:20.3pt;width:458.5pt;height:4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" fillcolor="#e3edef" strokecolor="#bfbfbf [2412]" strokeweight=".5pt">
                <v:textbox inset=",7.2pt,,7.2pt">
                  <w:txbxContent>
                    <w:p w:rsidR="00184A59" w:rsidRPr="00A976BF" w:rsidRDefault="00BF67A0">
                      <w:pPr>
                        <w:rPr>
                          <w:rFonts w:ascii="Arial Italic" w:hAnsi="Arial Italic"/>
                          <w:spacing w:val="-2"/>
                          <w:sz w:val="20"/>
                        </w:rPr>
                      </w:pPr>
                      <w:r w:rsidRPr="00A976BF">
                        <w:rPr>
                          <w:rFonts w:ascii="Arial Italic" w:hAnsi="Arial Italic"/>
                          <w:spacing w:val="-2"/>
                          <w:sz w:val="20"/>
                        </w:rPr>
                        <w:t xml:space="preserve">Additional resources are available online at: </w:t>
                      </w:r>
                      <w:r w:rsidRPr="00A976BF">
                        <w:rPr>
                          <w:rFonts w:ascii="Arial Italic" w:hAnsi="Arial Italic"/>
                          <w:color w:val="00598D"/>
                          <w:spacing w:val="-2"/>
                          <w:sz w:val="20"/>
                        </w:rPr>
                        <w:t>www.changelabsolutions.org/landing-page/participating-planning-process</w:t>
                      </w:r>
                    </w:p>
                  </w:txbxContent>
                </v:textbox>
                <w10:wrap type="tight"/>
              </v:shape>
            </w:pict>
          </mc:Fallback>
        </mc:AlternateContent>
      </w:r>
    </w:p>
    <w:p w14:paraId="4054BE92" w14:textId="77777777" w:rsidR="00D37048" w:rsidRPr="00A976BF" w:rsidRDefault="00BF67A0" w:rsidP="00223B99">
      <w:pPr>
        <w:pStyle w:val="Heading2"/>
        <w:rPr>
          <w:color w:val="00598D"/>
        </w:rPr>
      </w:pPr>
      <w:r w:rsidRPr="00A976BF">
        <w:rPr>
          <w:color w:val="00598D"/>
        </w:rPr>
        <w:lastRenderedPageBreak/>
        <w:t>Model Healthy Housing Comprehensive Plan Policies</w:t>
      </w:r>
    </w:p>
    <w:p w14:paraId="0E1FAB01" w14:textId="77777777" w:rsidR="00184A59" w:rsidRPr="00A976BF" w:rsidRDefault="00184A59" w:rsidP="00A976BF"/>
    <w:p w14:paraId="6FEFEF2C" w14:textId="77777777" w:rsidR="00184A59" w:rsidRDefault="00D37048" w:rsidP="00A976BF">
      <w:pPr>
        <w:pStyle w:val="BasicParagraph"/>
      </w:pPr>
      <w:r w:rsidRPr="00F34BD6">
        <w:t xml:space="preserve">The following comprehensive plan language establishes </w:t>
      </w:r>
      <w:r>
        <w:t>policies that support healthy housing.</w:t>
      </w:r>
      <w:r w:rsidRPr="00F34BD6">
        <w:t xml:space="preserve"> The language </w:t>
      </w:r>
      <w:proofErr w:type="gramStart"/>
      <w:r w:rsidRPr="00F34BD6">
        <w:t>is designed to be tailored</w:t>
      </w:r>
      <w:proofErr w:type="gramEnd"/>
      <w:r w:rsidRPr="00F34BD6">
        <w:t xml:space="preserve"> to the needs of an individual community. The local jurisdiction will ne</w:t>
      </w:r>
      <w:r>
        <w:t>ed to determine where to add this</w:t>
      </w:r>
      <w:r w:rsidRPr="00F34BD6">
        <w:t xml:space="preserve"> language to its existing plan</w:t>
      </w:r>
      <w:r>
        <w:t>,</w:t>
      </w:r>
      <w:r w:rsidRPr="00F34BD6">
        <w:t xml:space="preserve"> and/or include it during a comprehensive plan update</w:t>
      </w:r>
      <w:r>
        <w:t>. The locality must also</w:t>
      </w:r>
      <w:r w:rsidRPr="005B4423">
        <w:t xml:space="preserve"> </w:t>
      </w:r>
      <w:r w:rsidRPr="00F34BD6">
        <w:t>follow the appropriate procedures for amending and adopting comprehensive plans,</w:t>
      </w:r>
      <w:r>
        <w:t xml:space="preserve"> and may need to make other </w:t>
      </w:r>
      <w:r w:rsidRPr="00F34BD6">
        <w:t>amendments as necessary</w:t>
      </w:r>
      <w:r>
        <w:t xml:space="preserve"> to ensure consistency.</w:t>
      </w:r>
      <w:r w:rsidRPr="00F34BD6">
        <w:t xml:space="preserve"> Language written in italics provides different options or explains the type of information that needs to be inserted in the blank spaces in the policy.</w:t>
      </w:r>
    </w:p>
    <w:p w14:paraId="62B75275" w14:textId="77777777" w:rsidR="00D37048" w:rsidRPr="00B32486" w:rsidRDefault="00D37048" w:rsidP="00D37048">
      <w:pPr>
        <w:rPr>
          <w:rFonts w:ascii="Calibri" w:hAnsi="Calibri"/>
          <w:sz w:val="22"/>
          <w:szCs w:val="22"/>
        </w:rPr>
      </w:pPr>
    </w:p>
    <w:p w14:paraId="2DE34CDD" w14:textId="77777777" w:rsidR="00184A59" w:rsidRPr="00A976BF" w:rsidRDefault="00BF67A0" w:rsidP="00A976BF">
      <w:pPr>
        <w:pStyle w:val="Heading3"/>
        <w:rPr>
          <w:caps/>
          <w:color w:val="02598B"/>
          <w:sz w:val="28"/>
        </w:rPr>
      </w:pPr>
      <w:r w:rsidRPr="00A976BF">
        <w:rPr>
          <w:color w:val="02598B"/>
          <w:sz w:val="28"/>
        </w:rPr>
        <w:t>Housing Element Vision</w:t>
      </w:r>
    </w:p>
    <w:p w14:paraId="04088584" w14:textId="77777777" w:rsidR="00184A59" w:rsidRPr="00A976BF" w:rsidRDefault="00BF67A0" w:rsidP="00A976BF">
      <w:pPr>
        <w:pStyle w:val="BasicParagraph"/>
        <w:rPr>
          <w:rFonts w:eastAsia="Calibri" w:cs="Calibri"/>
          <w:b/>
          <w:u w:color="000000"/>
        </w:rPr>
      </w:pPr>
      <w:r w:rsidRPr="00A976BF">
        <w:rPr>
          <w:b/>
        </w:rPr>
        <w:t xml:space="preserve">Examples of Effective Vision Statements </w:t>
      </w:r>
    </w:p>
    <w:p w14:paraId="55F6DA84" w14:textId="77777777" w:rsidR="00184A59" w:rsidRDefault="00D37048" w:rsidP="00A976BF">
      <w:pPr>
        <w:pStyle w:val="BasicParagraph"/>
        <w:rPr>
          <w:rFonts w:eastAsia="Calibri"/>
          <w:u w:color="000000"/>
        </w:rPr>
      </w:pPr>
      <w:r>
        <w:rPr>
          <w:rFonts w:eastAsia="Calibri"/>
          <w:u w:color="000000"/>
        </w:rPr>
        <w:t xml:space="preserve">Each community will need to craft a vision statement that captures the values and aspirations of its residents. </w:t>
      </w:r>
      <w:r w:rsidRPr="000F7720">
        <w:rPr>
          <w:rFonts w:eastAsia="Calibri"/>
          <w:u w:color="000000"/>
        </w:rPr>
        <w:t>Because every community is unique, we cannot draft a “model” vision statement; instead, we have provided two examples of communities describing the healthy future they envision</w:t>
      </w:r>
      <w:r>
        <w:rPr>
          <w:rFonts w:eastAsia="Calibri"/>
          <w:u w:color="000000"/>
        </w:rPr>
        <w:t>.</w:t>
      </w:r>
    </w:p>
    <w:p w14:paraId="7A29D151" w14:textId="77777777" w:rsidR="00184A59" w:rsidRDefault="00184A59" w:rsidP="00A976BF">
      <w:pPr>
        <w:pStyle w:val="BasicParagraph"/>
        <w:rPr>
          <w:rFonts w:eastAsia="Calibri"/>
          <w:u w:color="000000"/>
        </w:rPr>
      </w:pPr>
    </w:p>
    <w:p w14:paraId="315008B0" w14:textId="77777777" w:rsidR="00184A59" w:rsidRDefault="00D37048" w:rsidP="00A976BF">
      <w:pPr>
        <w:pStyle w:val="BasicParagraph"/>
      </w:pPr>
      <w:r>
        <w:rPr>
          <w:rFonts w:eastAsia="Calibri"/>
          <w:u w:color="000000"/>
        </w:rPr>
        <w:t xml:space="preserve">The most recent comprehensive plan from the City of Denver, CO, included this inspiring quote from a vision originally established in their </w:t>
      </w:r>
      <w:r w:rsidRPr="009365AA">
        <w:rPr>
          <w:rFonts w:eastAsia="Calibri"/>
          <w:u w:color="000000"/>
        </w:rPr>
        <w:t>1989</w:t>
      </w:r>
      <w:r>
        <w:rPr>
          <w:rFonts w:eastAsia="Calibri"/>
          <w:u w:color="000000"/>
        </w:rPr>
        <w:t xml:space="preserve"> plan:</w:t>
      </w:r>
    </w:p>
    <w:p w14:paraId="666A0FF1" w14:textId="77777777" w:rsidR="00D37048" w:rsidRPr="00B32486" w:rsidRDefault="00D37048" w:rsidP="00D37048">
      <w:pPr>
        <w:rPr>
          <w:rFonts w:ascii="Calibri" w:hAnsi="Calibri"/>
          <w:sz w:val="22"/>
          <w:szCs w:val="22"/>
        </w:rPr>
      </w:pPr>
    </w:p>
    <w:p w14:paraId="0DF27FBF" w14:textId="77777777" w:rsidR="00184A59" w:rsidRPr="00A976BF" w:rsidRDefault="00BF67A0" w:rsidP="00A976BF">
      <w:pPr>
        <w:pStyle w:val="BasicParagraph"/>
        <w:ind w:left="720"/>
        <w:rPr>
          <w:i/>
        </w:rPr>
      </w:pPr>
      <w:r w:rsidRPr="00A976BF">
        <w:rPr>
          <w:i/>
        </w:rPr>
        <w:t xml:space="preserve">The fundamental thing we want Denver to both be and become is a city that is livable for </w:t>
      </w:r>
      <w:proofErr w:type="gramStart"/>
      <w:r w:rsidRPr="00A976BF">
        <w:rPr>
          <w:i/>
        </w:rPr>
        <w:t>all its</w:t>
      </w:r>
      <w:proofErr w:type="gramEnd"/>
      <w:r w:rsidRPr="00A976BF">
        <w:rPr>
          <w:i/>
        </w:rPr>
        <w:t xml:space="preserve"> people. A city in which they can learn, move about, work and play in safety, comfort, with pleasure and pride, and in a spirit of openness and opportunity. It is essential that quality of life for all the people of Denver be perceived as this Plan’s central purpose.</w:t>
      </w:r>
    </w:p>
    <w:p w14:paraId="2B1B8B25" w14:textId="77777777" w:rsidR="00184A59" w:rsidRDefault="00184A59" w:rsidP="00A976BF">
      <w:pPr>
        <w:pStyle w:val="BasicParagraph"/>
        <w:rPr>
          <w:rFonts w:eastAsia="Calibri"/>
          <w:u w:color="000000"/>
        </w:rPr>
      </w:pPr>
    </w:p>
    <w:p w14:paraId="5AB5CC3A" w14:textId="77777777" w:rsidR="00184A59" w:rsidRDefault="00D37048" w:rsidP="00A976BF">
      <w:pPr>
        <w:pStyle w:val="BasicParagraph"/>
        <w:rPr>
          <w:rFonts w:eastAsia="Calibri"/>
          <w:u w:color="000000"/>
        </w:rPr>
      </w:pPr>
      <w:r>
        <w:rPr>
          <w:rFonts w:eastAsia="Calibri"/>
          <w:u w:color="000000"/>
        </w:rPr>
        <w:t>The City of Santa Ana, CA,</w:t>
      </w:r>
      <w:r w:rsidRPr="0014794E">
        <w:rPr>
          <w:rFonts w:eastAsia="Calibri"/>
          <w:u w:color="000000"/>
        </w:rPr>
        <w:t xml:space="preserve"> </w:t>
      </w:r>
      <w:r>
        <w:rPr>
          <w:rFonts w:eastAsia="Calibri"/>
          <w:u w:color="000000"/>
        </w:rPr>
        <w:t xml:space="preserve">provides a strong example of a housing-specific vision that explicitly includes health, as well as a variety of other aspirational goals: </w:t>
      </w:r>
    </w:p>
    <w:p w14:paraId="0B68B958" w14:textId="77777777" w:rsidR="00D37048" w:rsidRPr="00B32486" w:rsidRDefault="00D37048" w:rsidP="00D37048">
      <w:pPr>
        <w:rPr>
          <w:rFonts w:ascii="Calibri" w:eastAsia="Calibri" w:hAnsi="Calibri" w:cs="Calibri"/>
          <w:color w:val="000000"/>
          <w:sz w:val="22"/>
          <w:szCs w:val="22"/>
          <w:u w:color="000000"/>
        </w:rPr>
      </w:pPr>
    </w:p>
    <w:p w14:paraId="4B9B2A80" w14:textId="77777777" w:rsidR="00184A59" w:rsidRPr="00A976BF" w:rsidRDefault="00BF67A0" w:rsidP="00A976BF">
      <w:pPr>
        <w:pStyle w:val="BasicParagraph"/>
        <w:ind w:left="720"/>
        <w:rPr>
          <w:rFonts w:eastAsia="Calibri"/>
          <w:i/>
          <w:u w:color="000000"/>
        </w:rPr>
      </w:pPr>
      <w:r w:rsidRPr="00A976BF">
        <w:rPr>
          <w:rFonts w:eastAsia="Calibri"/>
          <w:i/>
          <w:u w:color="000000"/>
        </w:rPr>
        <w:t>Santa Ana residents have an equal right and opportunity to find suitable housing in quality residential neighborhoods that allow themselves, their families, and neighbors to live the fullest lives. We support an inclusive community that is multigenerational, culturally diverse, healthy, sustainable, and economically broad. The City will facilitate the production, rehabilitation, and improvement of rental and homeownership opportunities at different affordability levels consistent with these principles.</w:t>
      </w:r>
    </w:p>
    <w:p w14:paraId="1ABA5FEC" w14:textId="77777777" w:rsidR="00D37048" w:rsidRPr="00A976BF" w:rsidRDefault="00D37048" w:rsidP="00D37048">
      <w:pPr>
        <w:ind w:left="720"/>
        <w:rPr>
          <w:rFonts w:ascii="Calibri" w:eastAsia="Calibri" w:hAnsi="Calibri" w:cs="Calibri"/>
          <w:color w:val="D63D25"/>
          <w:sz w:val="22"/>
          <w:szCs w:val="22"/>
          <w:u w:color="000000"/>
        </w:rPr>
      </w:pPr>
    </w:p>
    <w:p w14:paraId="7AFE9807" w14:textId="77777777" w:rsidR="00184A59" w:rsidRPr="00A976BF" w:rsidRDefault="00DD70EF" w:rsidP="00A976BF">
      <w:pPr>
        <w:spacing w:after="120" w:line="240" w:lineRule="auto"/>
        <w:rPr>
          <w:rFonts w:cs="Times-Roman"/>
          <w:b/>
          <w:caps/>
          <w:color w:val="02598B"/>
          <w:lang w:bidi="en-US"/>
        </w:rPr>
      </w:pPr>
      <w:r>
        <w:rPr>
          <w:b/>
          <w:caps/>
          <w:color w:val="02598B"/>
        </w:rPr>
        <w:br w:type="page"/>
      </w:r>
      <w:r w:rsidR="00BF67A0" w:rsidRPr="00A976BF">
        <w:rPr>
          <w:b/>
          <w:color w:val="02598B"/>
          <w:sz w:val="28"/>
        </w:rPr>
        <w:lastRenderedPageBreak/>
        <w:t>Section 1: Resident Engagement and Participation</w:t>
      </w:r>
    </w:p>
    <w:p w14:paraId="141B46B2" w14:textId="77777777" w:rsidR="00184A59" w:rsidRPr="00A976BF" w:rsidRDefault="00BF67A0" w:rsidP="00A976BF">
      <w:pPr>
        <w:pStyle w:val="BasicParagraph"/>
        <w:rPr>
          <w:b/>
        </w:rPr>
      </w:pPr>
      <w:r w:rsidRPr="00A976BF">
        <w:rPr>
          <w:b/>
        </w:rPr>
        <w:t xml:space="preserve">Goal 1: Housing is planned for, designed, and built in a way that responds to residents’ needs and reflects their voices and experiences. </w:t>
      </w:r>
    </w:p>
    <w:p w14:paraId="7573E1C5" w14:textId="77777777" w:rsidR="00184A59" w:rsidRPr="00A976BF" w:rsidRDefault="00184A59" w:rsidP="00A976BF">
      <w:pPr>
        <w:pStyle w:val="BasicParagraph"/>
        <w:rPr>
          <w:rFonts w:eastAsia="Calibri" w:cs="Calibri"/>
          <w:b/>
          <w:u w:color="000000"/>
        </w:rPr>
      </w:pPr>
    </w:p>
    <w:p w14:paraId="79A92ADD" w14:textId="77777777" w:rsidR="00184A59" w:rsidRPr="00A976BF" w:rsidRDefault="00BF67A0" w:rsidP="00A976BF">
      <w:pPr>
        <w:pStyle w:val="BasicParagraph"/>
        <w:ind w:left="720"/>
        <w:rPr>
          <w:b/>
          <w:i/>
        </w:rPr>
      </w:pPr>
      <w:r w:rsidRPr="00A976BF">
        <w:rPr>
          <w:b/>
          <w:i/>
        </w:rPr>
        <w:t>Objective 1.1: Proactively and meaningfully engage residents in planning decisions that impact their housing and neighborhoods.</w:t>
      </w:r>
    </w:p>
    <w:p w14:paraId="69DE5A7E" w14:textId="77777777" w:rsidR="00184A59" w:rsidRDefault="00184A59" w:rsidP="00A976BF">
      <w:pPr>
        <w:pStyle w:val="BasicParagraph"/>
      </w:pPr>
    </w:p>
    <w:p w14:paraId="12427782" w14:textId="77777777" w:rsidR="00184A59" w:rsidRDefault="00BF67A0" w:rsidP="00A976BF">
      <w:pPr>
        <w:pStyle w:val="BasicParagraph"/>
        <w:ind w:left="1440"/>
      </w:pPr>
      <w:r w:rsidRPr="00A976BF">
        <w:rPr>
          <w:b/>
        </w:rPr>
        <w:t>Policy 1.1.1</w:t>
      </w:r>
      <w:r w:rsidR="005D0260" w:rsidRPr="00B32486">
        <w:t xml:space="preserve"> Encourage public participation in the development process by effectively engaging the community and making special efforts to accommodate all residents, including</w:t>
      </w:r>
      <w:r w:rsidR="005D0260">
        <w:t>:</w:t>
      </w:r>
      <w:r w:rsidR="005D0260" w:rsidRPr="00B32486">
        <w:t xml:space="preserve"> </w:t>
      </w:r>
      <w:r w:rsidR="005D0260">
        <w:t>(</w:t>
      </w:r>
      <w:r w:rsidR="005D0260" w:rsidRPr="00B32486">
        <w:t xml:space="preserve">1) providing translation services, </w:t>
      </w:r>
      <w:r w:rsidR="005D0260">
        <w:t xml:space="preserve">  (</w:t>
      </w:r>
      <w:r w:rsidR="005D0260" w:rsidRPr="00B32486">
        <w:t xml:space="preserve">2) providing childcare, </w:t>
      </w:r>
      <w:r w:rsidR="005D0260">
        <w:t>(</w:t>
      </w:r>
      <w:r w:rsidR="005D0260" w:rsidRPr="00B32486">
        <w:t>3) using a variety of venues throughout the community, and</w:t>
      </w:r>
      <w:r w:rsidR="005D0260">
        <w:t xml:space="preserve"> (</w:t>
      </w:r>
      <w:r w:rsidR="005D0260" w:rsidRPr="00B32486">
        <w:t>4) using participatory facilitation techniques.</w:t>
      </w:r>
    </w:p>
    <w:p w14:paraId="1AEF60A3" w14:textId="77777777" w:rsidR="00184A59" w:rsidRDefault="00184A59" w:rsidP="00A976BF">
      <w:pPr>
        <w:pStyle w:val="BasicParagraph"/>
        <w:ind w:left="720"/>
      </w:pPr>
    </w:p>
    <w:p w14:paraId="6C5B1FB5" w14:textId="77777777" w:rsidR="00184A59" w:rsidRDefault="00BF67A0" w:rsidP="00A976BF">
      <w:pPr>
        <w:pStyle w:val="BasicParagraph"/>
        <w:ind w:left="1440"/>
      </w:pPr>
      <w:r w:rsidRPr="00A976BF">
        <w:rPr>
          <w:b/>
        </w:rPr>
        <w:t>1.1.2</w:t>
      </w:r>
      <w:r w:rsidR="00D37048" w:rsidRPr="00B32486">
        <w:t xml:space="preserve"> Encourage residents and other stakeholders to </w:t>
      </w:r>
      <w:r w:rsidR="00D37048">
        <w:t>participate</w:t>
      </w:r>
      <w:r w:rsidR="00D37048" w:rsidRPr="00B32486">
        <w:t xml:space="preserve"> in development plans and proposals through culturally appropriate public outreach efforts.</w:t>
      </w:r>
    </w:p>
    <w:p w14:paraId="7EDC626E" w14:textId="77777777" w:rsidR="00184A59" w:rsidRDefault="00184A59" w:rsidP="00A976BF">
      <w:pPr>
        <w:pStyle w:val="BasicParagraph"/>
        <w:ind w:left="1440"/>
      </w:pPr>
    </w:p>
    <w:p w14:paraId="67B90394" w14:textId="77777777" w:rsidR="00184A59" w:rsidRDefault="00BF67A0" w:rsidP="00A976BF">
      <w:pPr>
        <w:pStyle w:val="BasicParagraph"/>
        <w:ind w:left="1440"/>
      </w:pPr>
      <w:r w:rsidRPr="00A976BF">
        <w:rPr>
          <w:b/>
        </w:rPr>
        <w:t>1.1.3</w:t>
      </w:r>
      <w:r w:rsidR="00D37048" w:rsidRPr="00B32486">
        <w:t xml:space="preserve"> Support creativity in the construction of </w:t>
      </w:r>
      <w:r w:rsidR="00D37048">
        <w:t>new</w:t>
      </w:r>
      <w:r w:rsidR="00D37048" w:rsidRPr="00B32486">
        <w:t xml:space="preserve"> housing by proactively developing zoning and healthy design guidelines</w:t>
      </w:r>
      <w:r w:rsidR="00D37048">
        <w:t>.</w:t>
      </w:r>
      <w:r w:rsidR="00D37048" w:rsidRPr="00B32486">
        <w:t xml:space="preserve"> </w:t>
      </w:r>
      <w:r w:rsidR="00D37048">
        <w:t>S</w:t>
      </w:r>
      <w:r w:rsidR="00D37048" w:rsidRPr="00B32486">
        <w:t>olicit broad public input during drafting.</w:t>
      </w:r>
    </w:p>
    <w:p w14:paraId="3FCB3B14" w14:textId="77777777" w:rsidR="00184A59" w:rsidRDefault="00184A59" w:rsidP="00A976BF">
      <w:pPr>
        <w:pStyle w:val="BasicParagraph"/>
        <w:ind w:left="1440"/>
      </w:pPr>
    </w:p>
    <w:p w14:paraId="72A640D5" w14:textId="77777777" w:rsidR="00184A59" w:rsidRDefault="00BF67A0" w:rsidP="006D7027">
      <w:pPr>
        <w:spacing w:line="276" w:lineRule="auto"/>
        <w:ind w:left="1440"/>
      </w:pPr>
      <w:r w:rsidRPr="006D7027">
        <w:rPr>
          <w:b/>
        </w:rPr>
        <w:t>1.1.4</w:t>
      </w:r>
      <w:r w:rsidR="00D37048" w:rsidRPr="006D7027">
        <w:t xml:space="preserve"> In order to understand and address public health implications of housing policies and projects, consider conducting health impact assessments when approving new development [</w:t>
      </w:r>
      <w:r w:rsidRPr="006D7027">
        <w:rPr>
          <w:i/>
          <w:u w:val="single"/>
        </w:rPr>
        <w:t>of x square feet or above</w:t>
      </w:r>
      <w:r w:rsidR="00D37048" w:rsidRPr="006D7027">
        <w:t>] or undertaking policymaking with regard to public infrastructure and development</w:t>
      </w:r>
      <w:r w:rsidR="006D7027" w:rsidRPr="006D7027">
        <w:t xml:space="preserve"> </w:t>
      </w:r>
      <w:r w:rsidR="006D7027" w:rsidRPr="006D7027">
        <w:rPr>
          <w:color w:val="000000"/>
        </w:rPr>
        <w:t xml:space="preserve">in order to understand and address public health implications of housing policies and projects. </w:t>
      </w:r>
    </w:p>
    <w:p w14:paraId="6F123206" w14:textId="77777777" w:rsidR="00D37048" w:rsidRDefault="00D37048" w:rsidP="00D37048">
      <w:pPr>
        <w:rPr>
          <w:rFonts w:ascii="Calibri" w:hAnsi="Calibri"/>
          <w:sz w:val="22"/>
          <w:szCs w:val="22"/>
        </w:rPr>
      </w:pPr>
    </w:p>
    <w:p w14:paraId="2815F9C1" w14:textId="77777777" w:rsidR="00DD70EF" w:rsidRDefault="00DD70EF" w:rsidP="00D37048">
      <w:pPr>
        <w:rPr>
          <w:rFonts w:ascii="Calibri" w:hAnsi="Calibri"/>
          <w:sz w:val="22"/>
          <w:szCs w:val="22"/>
        </w:rPr>
      </w:pPr>
    </w:p>
    <w:p w14:paraId="6E1B3867" w14:textId="77777777" w:rsidR="00184A59" w:rsidRPr="00A976BF" w:rsidRDefault="00BF67A0" w:rsidP="00A976BF">
      <w:pPr>
        <w:pStyle w:val="BasicParagraph"/>
        <w:spacing w:after="120"/>
        <w:rPr>
          <w:b/>
          <w:caps/>
          <w:color w:val="02598B"/>
          <w:sz w:val="28"/>
        </w:rPr>
      </w:pPr>
      <w:r w:rsidRPr="00A976BF">
        <w:rPr>
          <w:b/>
          <w:color w:val="02598B"/>
          <w:sz w:val="28"/>
        </w:rPr>
        <w:t xml:space="preserve">Section 2: Healthy, Safe, Efficient, </w:t>
      </w:r>
      <w:r w:rsidR="00E6268C">
        <w:rPr>
          <w:b/>
          <w:color w:val="02598B"/>
          <w:sz w:val="28"/>
        </w:rPr>
        <w:t>a</w:t>
      </w:r>
      <w:r w:rsidRPr="00A976BF">
        <w:rPr>
          <w:b/>
          <w:color w:val="02598B"/>
          <w:sz w:val="28"/>
        </w:rPr>
        <w:t>nd Sustainable Homes</w:t>
      </w:r>
    </w:p>
    <w:p w14:paraId="254FB8B6" w14:textId="77777777" w:rsidR="00184A59" w:rsidRPr="00A976BF" w:rsidRDefault="00BF67A0" w:rsidP="00A976BF">
      <w:pPr>
        <w:pStyle w:val="BasicParagraph"/>
        <w:rPr>
          <w:b/>
        </w:rPr>
      </w:pPr>
      <w:r w:rsidRPr="00A976BF">
        <w:rPr>
          <w:b/>
        </w:rPr>
        <w:t xml:space="preserve">Goal 2: All housing is designed and built in a way that facilitates health, sustainability, and efficiency. </w:t>
      </w:r>
    </w:p>
    <w:p w14:paraId="7E6DEA2A" w14:textId="77777777" w:rsidR="00184A59" w:rsidRPr="00A976BF" w:rsidRDefault="00184A59" w:rsidP="00A976BF">
      <w:pPr>
        <w:pStyle w:val="BasicParagraph"/>
        <w:rPr>
          <w:b/>
        </w:rPr>
      </w:pPr>
    </w:p>
    <w:p w14:paraId="59BD5B78" w14:textId="77777777" w:rsidR="00184A59" w:rsidRPr="00A976BF" w:rsidRDefault="00BF67A0" w:rsidP="00A976BF">
      <w:pPr>
        <w:pStyle w:val="BasicParagraph"/>
        <w:spacing w:after="280"/>
        <w:ind w:left="720"/>
        <w:rPr>
          <w:b/>
          <w:i/>
        </w:rPr>
      </w:pPr>
      <w:r w:rsidRPr="00A976BF">
        <w:rPr>
          <w:b/>
          <w:i/>
        </w:rPr>
        <w:t>Objective 2.1: Ensure that all housing has healthy indoor air that is free from pollutants such as tobacco smoke, mold, carbon monoxide, and radon, and is constructed from materials that do not contain hazardous elements, such as lead or asbestos.</w:t>
      </w:r>
    </w:p>
    <w:p w14:paraId="506B0181" w14:textId="77777777" w:rsidR="00184A59" w:rsidRPr="00A976BF" w:rsidRDefault="00D37048" w:rsidP="00A976BF">
      <w:pPr>
        <w:pStyle w:val="BasicParagraph"/>
        <w:spacing w:after="280"/>
        <w:ind w:left="1440"/>
      </w:pPr>
      <w:r w:rsidRPr="00B32486">
        <w:rPr>
          <w:b/>
        </w:rPr>
        <w:t xml:space="preserve">Policy </w:t>
      </w:r>
      <w:r>
        <w:rPr>
          <w:b/>
        </w:rPr>
        <w:t>2</w:t>
      </w:r>
      <w:r w:rsidRPr="00B32486">
        <w:rPr>
          <w:b/>
        </w:rPr>
        <w:t>.1.1</w:t>
      </w:r>
      <w:r w:rsidRPr="00B32486">
        <w:t xml:space="preserve"> Review, revise</w:t>
      </w:r>
      <w:r>
        <w:t>,</w:t>
      </w:r>
      <w:r w:rsidRPr="00B32486">
        <w:t xml:space="preserve"> and update zoning and subdivision codes, </w:t>
      </w:r>
      <w:r>
        <w:t>as well as</w:t>
      </w:r>
      <w:r w:rsidRPr="00B32486">
        <w:t xml:space="preserve"> other plans, laws, procedures, rules, regulations, guidelines, </w:t>
      </w:r>
      <w:r w:rsidRPr="00B32486">
        <w:lastRenderedPageBreak/>
        <w:t>programs, templates, and design manuals, including [</w:t>
      </w:r>
      <w:r w:rsidRPr="00F34BD6">
        <w:rPr>
          <w:i/>
          <w:u w:val="single"/>
        </w:rPr>
        <w:t>other key documents</w:t>
      </w:r>
      <w:r w:rsidRPr="00B32486">
        <w:t>], where necessary, in order to promote healthy housing quality.</w:t>
      </w:r>
    </w:p>
    <w:p w14:paraId="342595D2" w14:textId="77777777" w:rsidR="00184A59" w:rsidRDefault="00D37048" w:rsidP="00A976BF">
      <w:pPr>
        <w:pStyle w:val="BasicParagraph"/>
        <w:spacing w:after="280"/>
        <w:ind w:left="1440"/>
        <w:rPr>
          <w:b/>
        </w:rPr>
      </w:pPr>
      <w:r>
        <w:rPr>
          <w:b/>
        </w:rPr>
        <w:t>2</w:t>
      </w:r>
      <w:r w:rsidRPr="00B32486">
        <w:rPr>
          <w:b/>
        </w:rPr>
        <w:t>.</w:t>
      </w:r>
      <w:r>
        <w:rPr>
          <w:b/>
        </w:rPr>
        <w:t>1.2</w:t>
      </w:r>
      <w:r w:rsidRPr="00B32486">
        <w:t xml:space="preserve"> Work with developers and </w:t>
      </w:r>
      <w:r>
        <w:t>[</w:t>
      </w:r>
      <w:r w:rsidRPr="000F7720">
        <w:rPr>
          <w:i/>
          <w:u w:val="single"/>
        </w:rPr>
        <w:t>relevant departments and agencies</w:t>
      </w:r>
      <w:r>
        <w:t>]</w:t>
      </w:r>
      <w:r w:rsidRPr="00B32486">
        <w:t xml:space="preserve"> to prioritize health in planned construction, using healthy design checklists </w:t>
      </w:r>
      <w:r>
        <w:t>and/</w:t>
      </w:r>
      <w:r w:rsidRPr="00B32486">
        <w:t>or other review tools.</w:t>
      </w:r>
      <w:r>
        <w:t xml:space="preserve"> </w:t>
      </w:r>
    </w:p>
    <w:p w14:paraId="20F1589B" w14:textId="77777777" w:rsidR="00184A59" w:rsidRDefault="00D37048" w:rsidP="00A976BF">
      <w:pPr>
        <w:pStyle w:val="BasicParagraph"/>
        <w:spacing w:after="280"/>
        <w:ind w:left="1440"/>
      </w:pPr>
      <w:r>
        <w:rPr>
          <w:b/>
        </w:rPr>
        <w:t>2</w:t>
      </w:r>
      <w:r w:rsidRPr="00B32486">
        <w:rPr>
          <w:b/>
        </w:rPr>
        <w:t>.1.</w:t>
      </w:r>
      <w:r>
        <w:rPr>
          <w:b/>
        </w:rPr>
        <w:t>3</w:t>
      </w:r>
      <w:r w:rsidRPr="00B32486">
        <w:t xml:space="preserve"> </w:t>
      </w:r>
      <w:r>
        <w:t>Establish</w:t>
      </w:r>
      <w:r w:rsidRPr="00B32486">
        <w:t xml:space="preserve"> or support abatement assistance programs that help residents eliminate </w:t>
      </w:r>
      <w:r>
        <w:t xml:space="preserve">common </w:t>
      </w:r>
      <w:r w:rsidRPr="00B32486">
        <w:t xml:space="preserve">pollutants from their homes, </w:t>
      </w:r>
      <w:r>
        <w:t>such as providing free or</w:t>
      </w:r>
      <w:r w:rsidRPr="00CC7807">
        <w:t xml:space="preserve"> subsidized supplies to test and monitor </w:t>
      </w:r>
      <w:r>
        <w:t xml:space="preserve">indoor air quality and providing </w:t>
      </w:r>
      <w:r w:rsidRPr="004E0B3E">
        <w:t>grants to remediate indoor air pollution problems in low-income homes or affordable rental units</w:t>
      </w:r>
      <w:r>
        <w:t>.</w:t>
      </w:r>
      <w:r w:rsidRPr="00B32486">
        <w:t xml:space="preserve"> </w:t>
      </w:r>
    </w:p>
    <w:p w14:paraId="65E0F871" w14:textId="77777777" w:rsidR="00184A59" w:rsidRDefault="00D37048" w:rsidP="00A976BF">
      <w:pPr>
        <w:pStyle w:val="BasicParagraph"/>
        <w:spacing w:after="280"/>
        <w:ind w:left="1440"/>
      </w:pPr>
      <w:r>
        <w:rPr>
          <w:b/>
        </w:rPr>
        <w:t>2</w:t>
      </w:r>
      <w:r w:rsidRPr="005B24A6">
        <w:rPr>
          <w:b/>
        </w:rPr>
        <w:t>.1.</w:t>
      </w:r>
      <w:r>
        <w:rPr>
          <w:b/>
        </w:rPr>
        <w:t>4</w:t>
      </w:r>
      <w:r>
        <w:t xml:space="preserve"> Reduce or eliminate toxic pesticide use in [</w:t>
      </w:r>
      <w:r w:rsidRPr="0081722B">
        <w:rPr>
          <w:i/>
          <w:u w:val="single"/>
        </w:rPr>
        <w:t>City/County</w:t>
      </w:r>
      <w:r>
        <w:t>] owned or managed buildings through the use of integrated pest management (IPM) techniques and encourage the use of IMP on private property.</w:t>
      </w:r>
    </w:p>
    <w:p w14:paraId="02A7E17E" w14:textId="77777777" w:rsidR="00184A59" w:rsidRDefault="00D37048" w:rsidP="00A976BF">
      <w:pPr>
        <w:pStyle w:val="BasicParagraph"/>
        <w:spacing w:after="280"/>
        <w:ind w:left="1440"/>
      </w:pPr>
      <w:r>
        <w:rPr>
          <w:b/>
        </w:rPr>
        <w:t>2</w:t>
      </w:r>
      <w:r w:rsidRPr="00B32486">
        <w:rPr>
          <w:b/>
        </w:rPr>
        <w:t>.</w:t>
      </w:r>
      <w:r>
        <w:rPr>
          <w:b/>
        </w:rPr>
        <w:t>1.5</w:t>
      </w:r>
      <w:r w:rsidRPr="00B32486">
        <w:t xml:space="preserve"> </w:t>
      </w:r>
      <w:r>
        <w:t>Establish and operate a robust code enforcement program</w:t>
      </w:r>
      <w:r w:rsidRPr="00B32486">
        <w:t xml:space="preserve"> to ensure conformance with local regulations and to address maintenance issues </w:t>
      </w:r>
      <w:r>
        <w:t xml:space="preserve">that compromise air quality and health, </w:t>
      </w:r>
      <w:r w:rsidRPr="00B32486">
        <w:t>such as dry</w:t>
      </w:r>
      <w:r>
        <w:t xml:space="preserve"> </w:t>
      </w:r>
      <w:r w:rsidRPr="00B32486">
        <w:t xml:space="preserve">rot, pests, </w:t>
      </w:r>
      <w:r>
        <w:t>and</w:t>
      </w:r>
      <w:r w:rsidRPr="00B32486">
        <w:t xml:space="preserve"> mold.</w:t>
      </w:r>
    </w:p>
    <w:p w14:paraId="7D825B76" w14:textId="77777777" w:rsidR="00184A59" w:rsidRDefault="00D37048" w:rsidP="00A976BF">
      <w:pPr>
        <w:pStyle w:val="BasicParagraph"/>
        <w:spacing w:after="280"/>
        <w:ind w:left="1440"/>
      </w:pPr>
      <w:r>
        <w:rPr>
          <w:b/>
        </w:rPr>
        <w:t>2.1.6</w:t>
      </w:r>
      <w:r w:rsidRPr="00B32486">
        <w:rPr>
          <w:b/>
        </w:rPr>
        <w:t xml:space="preserve"> </w:t>
      </w:r>
      <w:r w:rsidRPr="00B32486">
        <w:t xml:space="preserve">Encourage coordination among agencies and departments </w:t>
      </w:r>
      <w:r>
        <w:t xml:space="preserve">to </w:t>
      </w:r>
      <w:r w:rsidRPr="00B32486">
        <w:t xml:space="preserve">support pollutant-free homes, such as working with the fire department to provide households with </w:t>
      </w:r>
      <w:r>
        <w:t>free</w:t>
      </w:r>
      <w:r w:rsidRPr="00B32486">
        <w:t xml:space="preserve"> or low-cost smoke detectors and carbon monoxide detectors.</w:t>
      </w:r>
    </w:p>
    <w:p w14:paraId="0CFBC305" w14:textId="77777777" w:rsidR="00184A59" w:rsidRPr="00A976BF" w:rsidRDefault="00D37048" w:rsidP="00A976BF">
      <w:pPr>
        <w:pStyle w:val="BasicParagraph"/>
        <w:spacing w:after="280"/>
        <w:ind w:left="1440"/>
      </w:pPr>
      <w:r>
        <w:rPr>
          <w:b/>
        </w:rPr>
        <w:t>2</w:t>
      </w:r>
      <w:r w:rsidRPr="00B32486">
        <w:rPr>
          <w:b/>
        </w:rPr>
        <w:t>.1.</w:t>
      </w:r>
      <w:r>
        <w:rPr>
          <w:b/>
        </w:rPr>
        <w:t>7</w:t>
      </w:r>
      <w:r w:rsidRPr="00B32486">
        <w:t xml:space="preserve"> Work with local hazardous waste disposal site</w:t>
      </w:r>
      <w:r>
        <w:t>(s)</w:t>
      </w:r>
      <w:r w:rsidRPr="00B32486">
        <w:t xml:space="preserve"> to provide residents and contractors with easily accessible facilities</w:t>
      </w:r>
      <w:r>
        <w:t>,</w:t>
      </w:r>
      <w:r w:rsidRPr="00B32486">
        <w:t xml:space="preserve"> properly dispose of hazardous materials, and institute a system of fines and/or penalties for improper disposal of hazardous materials.</w:t>
      </w:r>
    </w:p>
    <w:p w14:paraId="317558AE" w14:textId="77777777" w:rsidR="00184A59" w:rsidRDefault="00D37048" w:rsidP="00A976BF">
      <w:pPr>
        <w:pStyle w:val="BasicParagraph"/>
        <w:spacing w:after="280"/>
        <w:ind w:left="1440"/>
      </w:pPr>
      <w:r>
        <w:rPr>
          <w:b/>
        </w:rPr>
        <w:t>2.1.8</w:t>
      </w:r>
      <w:r w:rsidRPr="00B32486">
        <w:rPr>
          <w:b/>
        </w:rPr>
        <w:t xml:space="preserve"> </w:t>
      </w:r>
      <w:r>
        <w:t xml:space="preserve">Establish local policies protecting </w:t>
      </w:r>
      <w:proofErr w:type="spellStart"/>
      <w:r>
        <w:t>smokefree</w:t>
      </w:r>
      <w:proofErr w:type="spellEnd"/>
      <w:r>
        <w:t xml:space="preserve"> multi-unit housing, such as prohibiting smoking in</w:t>
      </w:r>
      <w:r w:rsidRPr="00DF0BF9">
        <w:t xml:space="preserve"> residential buildings controlled by</w:t>
      </w:r>
      <w:r>
        <w:t xml:space="preserve"> the local housing authority, establishing jurisdiction-wide prohibitions of</w:t>
      </w:r>
      <w:r w:rsidRPr="00DF0BF9">
        <w:t xml:space="preserve"> smoking in multi-</w:t>
      </w:r>
      <w:r>
        <w:t>unit</w:t>
      </w:r>
      <w:r w:rsidRPr="00DF0BF9">
        <w:t xml:space="preserve"> buildings</w:t>
      </w:r>
      <w:r>
        <w:t xml:space="preserve">, and </w:t>
      </w:r>
      <w:r w:rsidRPr="00DF0BF9">
        <w:t>affirm</w:t>
      </w:r>
      <w:r>
        <w:t>ing by local ordinance</w:t>
      </w:r>
      <w:r w:rsidRPr="00DF0BF9">
        <w:t xml:space="preserve"> </w:t>
      </w:r>
      <w:r>
        <w:t xml:space="preserve">that </w:t>
      </w:r>
      <w:r w:rsidRPr="00DF0BF9">
        <w:t>landlords</w:t>
      </w:r>
      <w:r>
        <w:t xml:space="preserve"> may</w:t>
      </w:r>
      <w:r w:rsidRPr="00DF0BF9">
        <w:t xml:space="preserve"> establish </w:t>
      </w:r>
      <w:proofErr w:type="spellStart"/>
      <w:r w:rsidRPr="00DF0BF9">
        <w:t>smokefree</w:t>
      </w:r>
      <w:proofErr w:type="spellEnd"/>
      <w:r w:rsidRPr="00DF0BF9">
        <w:t xml:space="preserve"> rental units</w:t>
      </w:r>
      <w:r>
        <w:t>.</w:t>
      </w:r>
    </w:p>
    <w:p w14:paraId="7DD7D815" w14:textId="77777777" w:rsidR="00184A59" w:rsidRPr="00A976BF" w:rsidRDefault="00BF67A0" w:rsidP="00A976BF">
      <w:pPr>
        <w:pStyle w:val="BasicParagraph"/>
        <w:ind w:left="1440"/>
        <w:rPr>
          <w:spacing w:val="-2"/>
        </w:rPr>
      </w:pPr>
      <w:r w:rsidRPr="00A976BF">
        <w:rPr>
          <w:b/>
          <w:spacing w:val="-2"/>
        </w:rPr>
        <w:t>2.1.9</w:t>
      </w:r>
      <w:r w:rsidRPr="00A976BF">
        <w:rPr>
          <w:spacing w:val="-2"/>
        </w:rPr>
        <w:t xml:space="preserve"> Require all new or substantially renovated multifamily housing projects, especially those within 500 feet of major sources of air pollution, such as freeways and major arterials, to incorporate site designs that minimize exposure to air pollution and/or use advanced ventilation standards.</w:t>
      </w:r>
    </w:p>
    <w:p w14:paraId="5C89ABC4" w14:textId="77777777" w:rsidR="00184A59" w:rsidRDefault="00184A59" w:rsidP="00A976BF">
      <w:pPr>
        <w:pStyle w:val="BasicParagraph"/>
        <w:ind w:left="720"/>
      </w:pPr>
    </w:p>
    <w:p w14:paraId="288F6E13" w14:textId="77777777" w:rsidR="00184A59" w:rsidRPr="00A976BF" w:rsidRDefault="00BF67A0" w:rsidP="00A976BF">
      <w:pPr>
        <w:pStyle w:val="BasicParagraph"/>
        <w:ind w:left="720"/>
        <w:rPr>
          <w:b/>
          <w:i/>
        </w:rPr>
      </w:pPr>
      <w:r w:rsidRPr="00A976BF">
        <w:rPr>
          <w:b/>
          <w:i/>
        </w:rPr>
        <w:t>2.2: Maximize inclusivity by implementing housing design that meets the needs of all household members (including children, families, older adults, and people with disabilities).</w:t>
      </w:r>
    </w:p>
    <w:p w14:paraId="217E89A6" w14:textId="77777777" w:rsidR="00D37048" w:rsidRPr="00B32486" w:rsidRDefault="00D37048" w:rsidP="00D37048">
      <w:pPr>
        <w:rPr>
          <w:rFonts w:ascii="Calibri" w:hAnsi="Calibri"/>
          <w:b/>
          <w:i/>
          <w:sz w:val="22"/>
          <w:szCs w:val="22"/>
        </w:rPr>
      </w:pPr>
    </w:p>
    <w:p w14:paraId="0E73685E" w14:textId="77777777" w:rsidR="00184A59" w:rsidRDefault="00D37048" w:rsidP="00A976BF">
      <w:pPr>
        <w:pStyle w:val="BasicParagraph"/>
        <w:ind w:left="1440"/>
      </w:pPr>
      <w:r>
        <w:rPr>
          <w:b/>
        </w:rPr>
        <w:t xml:space="preserve">2.2.1 </w:t>
      </w:r>
      <w:r>
        <w:t>Work with developers and [</w:t>
      </w:r>
      <w:r w:rsidRPr="0081722B">
        <w:rPr>
          <w:i/>
          <w:u w:val="single"/>
        </w:rPr>
        <w:t>relevant departments and agencies</w:t>
      </w:r>
      <w:r>
        <w:t>]</w:t>
      </w:r>
      <w:r w:rsidRPr="00B32486">
        <w:t xml:space="preserve"> </w:t>
      </w:r>
      <w:r>
        <w:t>to ensure new housing development includes universal design</w:t>
      </w:r>
      <w:r>
        <w:rPr>
          <w:rStyle w:val="FootnoteReference"/>
          <w:rFonts w:ascii="Calibri" w:hAnsi="Calibri"/>
          <w:sz w:val="22"/>
          <w:szCs w:val="22"/>
        </w:rPr>
        <w:footnoteReference w:id="3"/>
      </w:r>
      <w:r>
        <w:t xml:space="preserve"> features, such as a no-step entry, single-floor living, and wide doorways and hallways.</w:t>
      </w:r>
      <w:r>
        <w:br/>
      </w:r>
    </w:p>
    <w:p w14:paraId="7C77A76D" w14:textId="77777777" w:rsidR="00184A59" w:rsidRDefault="00D37048" w:rsidP="00A976BF">
      <w:pPr>
        <w:pStyle w:val="BasicParagraph"/>
        <w:ind w:left="1440"/>
      </w:pPr>
      <w:r>
        <w:rPr>
          <w:b/>
        </w:rPr>
        <w:t xml:space="preserve">2.2.2 </w:t>
      </w:r>
      <w:r>
        <w:t xml:space="preserve">Explore opportunities to retrofit existing housing supply to reflect universal design principles </w:t>
      </w:r>
      <w:r w:rsidRPr="00B32486">
        <w:t>to facilitate injury prevention and accommodat</w:t>
      </w:r>
      <w:r>
        <w:t xml:space="preserve">e </w:t>
      </w:r>
      <w:r w:rsidRPr="00B32486">
        <w:t>of a variety of residents</w:t>
      </w:r>
      <w:r>
        <w:t>.</w:t>
      </w:r>
    </w:p>
    <w:p w14:paraId="155EF32A" w14:textId="77777777" w:rsidR="00184A59" w:rsidRDefault="00184A59" w:rsidP="00A976BF">
      <w:pPr>
        <w:pStyle w:val="BasicParagraph"/>
        <w:ind w:left="1440"/>
      </w:pPr>
    </w:p>
    <w:p w14:paraId="76A361C1" w14:textId="77777777" w:rsidR="00184A59" w:rsidRDefault="00D37048" w:rsidP="00A976BF">
      <w:pPr>
        <w:pStyle w:val="BasicParagraph"/>
        <w:ind w:left="1440"/>
      </w:pPr>
      <w:r>
        <w:rPr>
          <w:b/>
        </w:rPr>
        <w:t>2.2.3</w:t>
      </w:r>
      <w:r w:rsidRPr="00B32486">
        <w:rPr>
          <w:b/>
        </w:rPr>
        <w:t xml:space="preserve"> </w:t>
      </w:r>
      <w:r w:rsidRPr="00B32486">
        <w:t>Ensure housing design meets needs of people with sensitive health statuses, including people with chronic or terminal illnesses.</w:t>
      </w:r>
      <w:r>
        <w:t xml:space="preserve"> </w:t>
      </w:r>
    </w:p>
    <w:p w14:paraId="74EA1E99" w14:textId="77777777" w:rsidR="00D37048" w:rsidRPr="00B32486" w:rsidRDefault="00D37048" w:rsidP="00D37048">
      <w:pPr>
        <w:ind w:left="1440"/>
        <w:rPr>
          <w:rFonts w:ascii="Calibri" w:hAnsi="Calibri"/>
          <w:sz w:val="22"/>
          <w:szCs w:val="22"/>
        </w:rPr>
      </w:pPr>
    </w:p>
    <w:p w14:paraId="54A4CC97" w14:textId="77777777" w:rsidR="00184A59" w:rsidRPr="00A976BF" w:rsidRDefault="00BF67A0" w:rsidP="00A976BF">
      <w:pPr>
        <w:pStyle w:val="BasicParagraph"/>
        <w:ind w:left="720"/>
        <w:rPr>
          <w:b/>
          <w:i/>
        </w:rPr>
      </w:pPr>
      <w:r w:rsidRPr="00A976BF">
        <w:rPr>
          <w:b/>
          <w:i/>
        </w:rPr>
        <w:t xml:space="preserve">2.3: Encourage sustainable design, construction practices, material sourcing, and home resource efficiency in current and future housing. </w:t>
      </w:r>
    </w:p>
    <w:p w14:paraId="5149A42E" w14:textId="77777777" w:rsidR="00D37048" w:rsidRPr="00B32486" w:rsidRDefault="00D37048" w:rsidP="00D37048">
      <w:pPr>
        <w:ind w:left="1440"/>
        <w:rPr>
          <w:rFonts w:ascii="Calibri" w:hAnsi="Calibri"/>
          <w:sz w:val="22"/>
          <w:szCs w:val="22"/>
        </w:rPr>
      </w:pPr>
    </w:p>
    <w:p w14:paraId="112C650F" w14:textId="77777777" w:rsidR="00184A59" w:rsidRDefault="00D37048" w:rsidP="00A976BF">
      <w:pPr>
        <w:pStyle w:val="BasicParagraph"/>
        <w:ind w:left="1440"/>
      </w:pPr>
      <w:r>
        <w:rPr>
          <w:b/>
        </w:rPr>
        <w:t>2.3</w:t>
      </w:r>
      <w:r w:rsidRPr="00B32486">
        <w:rPr>
          <w:b/>
        </w:rPr>
        <w:t xml:space="preserve">.1 </w:t>
      </w:r>
      <w:r w:rsidRPr="00B32486">
        <w:t>Provide incentives for households to improve resource efficiency, such as rebate programs, tax incentives, and giveaways for items such as low-flow showerheads and electrical outlet insulation.</w:t>
      </w:r>
    </w:p>
    <w:p w14:paraId="6F2DBCF3" w14:textId="77777777" w:rsidR="00184A59" w:rsidRDefault="00184A59" w:rsidP="00A976BF">
      <w:pPr>
        <w:pStyle w:val="BasicParagraph"/>
        <w:ind w:left="1440"/>
      </w:pPr>
    </w:p>
    <w:p w14:paraId="48B6A193" w14:textId="77777777" w:rsidR="00184A59" w:rsidRDefault="00D37048" w:rsidP="00A976BF">
      <w:pPr>
        <w:pStyle w:val="BasicParagraph"/>
        <w:ind w:left="1440"/>
      </w:pPr>
      <w:r>
        <w:rPr>
          <w:b/>
        </w:rPr>
        <w:t>2.3</w:t>
      </w:r>
      <w:r w:rsidRPr="00B32486">
        <w:rPr>
          <w:b/>
        </w:rPr>
        <w:t xml:space="preserve">.2 </w:t>
      </w:r>
      <w:r w:rsidRPr="00B32486">
        <w:t xml:space="preserve">Encourage changes in building code to reflect emphasis on </w:t>
      </w:r>
      <w:r>
        <w:t xml:space="preserve">health, </w:t>
      </w:r>
      <w:r w:rsidRPr="00B32486">
        <w:t>sustainability</w:t>
      </w:r>
      <w:r>
        <w:t>,</w:t>
      </w:r>
      <w:r w:rsidRPr="00B32486">
        <w:t xml:space="preserve"> and energy efficiency.</w:t>
      </w:r>
    </w:p>
    <w:p w14:paraId="21616271" w14:textId="77777777" w:rsidR="00184A59" w:rsidRDefault="00184A59" w:rsidP="00A976BF">
      <w:pPr>
        <w:pStyle w:val="BasicParagraph"/>
        <w:ind w:left="1440"/>
      </w:pPr>
    </w:p>
    <w:p w14:paraId="300A3AF4" w14:textId="77777777" w:rsidR="00184A59" w:rsidRDefault="00D37048" w:rsidP="00A976BF">
      <w:pPr>
        <w:pStyle w:val="BasicParagraph"/>
        <w:ind w:left="1440"/>
      </w:pPr>
      <w:r>
        <w:rPr>
          <w:b/>
        </w:rPr>
        <w:t>2.3</w:t>
      </w:r>
      <w:r w:rsidRPr="00B32486">
        <w:rPr>
          <w:b/>
        </w:rPr>
        <w:t xml:space="preserve">.3 </w:t>
      </w:r>
      <w:r w:rsidRPr="00B32486">
        <w:t xml:space="preserve">Provide incentives for contractors to obtain Leadership in Energy &amp; Environmental Design (LEED) professional credentials as well as LEED certification for their buildings. Provide incentives and support for contractors to acquire </w:t>
      </w:r>
      <w:r>
        <w:t>credentials</w:t>
      </w:r>
      <w:r w:rsidRPr="00B32486">
        <w:t xml:space="preserve"> in sustainable and equitable design and construction practices, such as LEED, </w:t>
      </w:r>
      <w:proofErr w:type="spellStart"/>
      <w:r w:rsidRPr="00B32486">
        <w:t>GreenPoint</w:t>
      </w:r>
      <w:proofErr w:type="spellEnd"/>
      <w:r w:rsidRPr="00B32486">
        <w:t>, Living Building Challenge, and JUST.</w:t>
      </w:r>
    </w:p>
    <w:p w14:paraId="13847B6F" w14:textId="77777777" w:rsidR="00184A59" w:rsidRDefault="00184A59" w:rsidP="00A976BF">
      <w:pPr>
        <w:pStyle w:val="BasicParagraph"/>
        <w:ind w:left="1440"/>
      </w:pPr>
    </w:p>
    <w:p w14:paraId="5C800E2A" w14:textId="77777777" w:rsidR="00184A59" w:rsidRDefault="00D37048" w:rsidP="00A976BF">
      <w:pPr>
        <w:pStyle w:val="BasicParagraph"/>
        <w:ind w:left="1440"/>
      </w:pPr>
      <w:r>
        <w:rPr>
          <w:b/>
        </w:rPr>
        <w:t>2.3</w:t>
      </w:r>
      <w:r w:rsidRPr="00B32486">
        <w:rPr>
          <w:b/>
        </w:rPr>
        <w:t>.4</w:t>
      </w:r>
      <w:r w:rsidRPr="00B32486">
        <w:t xml:space="preserve"> Provide incentives for architects and contractors </w:t>
      </w:r>
      <w:r>
        <w:t>who</w:t>
      </w:r>
      <w:r w:rsidRPr="00B32486">
        <w:t xml:space="preserve"> pursue building certification for sustainable and </w:t>
      </w:r>
      <w:r>
        <w:t>healthy</w:t>
      </w:r>
      <w:r w:rsidRPr="00B32486">
        <w:t xml:space="preserve"> design and construction practices.</w:t>
      </w:r>
      <w:r>
        <w:t xml:space="preserve"> </w:t>
      </w:r>
    </w:p>
    <w:p w14:paraId="37AC4DFB" w14:textId="77777777" w:rsidR="00677537" w:rsidRPr="00A976BF" w:rsidRDefault="00677537">
      <w:pPr>
        <w:spacing w:line="240" w:lineRule="auto"/>
        <w:rPr>
          <w:rFonts w:cs="Times-Roman"/>
          <w:b/>
          <w:color w:val="02598B"/>
          <w:sz w:val="4"/>
          <w:lang w:bidi="en-US"/>
        </w:rPr>
      </w:pPr>
      <w:r>
        <w:rPr>
          <w:b/>
          <w:color w:val="02598B"/>
          <w:sz w:val="28"/>
        </w:rPr>
        <w:br w:type="page"/>
      </w:r>
    </w:p>
    <w:p w14:paraId="68385F29" w14:textId="77777777" w:rsidR="00184A59" w:rsidRPr="00A976BF" w:rsidRDefault="00BF67A0" w:rsidP="00A976BF">
      <w:pPr>
        <w:pStyle w:val="BasicParagraph"/>
        <w:rPr>
          <w:b/>
          <w:caps/>
          <w:color w:val="02598B"/>
          <w:sz w:val="28"/>
        </w:rPr>
      </w:pPr>
      <w:r w:rsidRPr="00A976BF">
        <w:rPr>
          <w:b/>
          <w:color w:val="02598B"/>
          <w:sz w:val="28"/>
        </w:rPr>
        <w:lastRenderedPageBreak/>
        <w:t>Section 3: Healthy and Equitable Housing Opportunities</w:t>
      </w:r>
    </w:p>
    <w:p w14:paraId="55A7A4F3" w14:textId="77777777" w:rsidR="00D37048" w:rsidRPr="00B32486" w:rsidRDefault="00D37048" w:rsidP="00D37048">
      <w:pPr>
        <w:rPr>
          <w:rFonts w:ascii="Calibri" w:hAnsi="Calibri"/>
          <w:b/>
          <w:i/>
          <w:sz w:val="22"/>
          <w:szCs w:val="22"/>
        </w:rPr>
      </w:pPr>
    </w:p>
    <w:p w14:paraId="1B6FDE30" w14:textId="77777777" w:rsidR="00184A59" w:rsidRPr="00A976BF" w:rsidRDefault="00BF67A0" w:rsidP="00A976BF">
      <w:pPr>
        <w:pStyle w:val="BasicParagraph"/>
        <w:rPr>
          <w:b/>
        </w:rPr>
      </w:pPr>
      <w:r w:rsidRPr="00A976BF">
        <w:rPr>
          <w:b/>
        </w:rPr>
        <w:t xml:space="preserve">Goal 3: Ensure that all residents have the opportunity to make meaningful housing decisions for themselves and their households by providing a diverse supply of quality housing at a range of affordability levels, and develop neighborhoods that are accessible to all household types, income levels, and age groups. </w:t>
      </w:r>
    </w:p>
    <w:p w14:paraId="2DAB9E19" w14:textId="77777777" w:rsidR="00184A59" w:rsidRPr="00A976BF" w:rsidRDefault="00184A59" w:rsidP="00A976BF">
      <w:pPr>
        <w:pStyle w:val="BasicParagraph"/>
        <w:rPr>
          <w:b/>
        </w:rPr>
      </w:pPr>
    </w:p>
    <w:p w14:paraId="2BDCE393" w14:textId="77777777" w:rsidR="00184A59" w:rsidRPr="00A976BF" w:rsidRDefault="00BF67A0" w:rsidP="00A976BF">
      <w:pPr>
        <w:pStyle w:val="BasicParagraph"/>
        <w:ind w:left="720"/>
        <w:rPr>
          <w:b/>
          <w:i/>
        </w:rPr>
      </w:pPr>
      <w:r w:rsidRPr="00A976BF">
        <w:rPr>
          <w:b/>
          <w:i/>
        </w:rPr>
        <w:t>3.1: Maintain social and economic diversity by constructing and preserving an adequate and diverse supply of location-efficient and affordable housing options for all residents, including those with special needs, the homeless, older adults, and families with children.</w:t>
      </w:r>
    </w:p>
    <w:p w14:paraId="5413449C" w14:textId="77777777" w:rsidR="00D37048" w:rsidRPr="00B32486" w:rsidRDefault="00D37048" w:rsidP="00D37048">
      <w:pPr>
        <w:ind w:left="1440"/>
        <w:rPr>
          <w:rFonts w:ascii="Calibri" w:hAnsi="Calibri"/>
          <w:sz w:val="22"/>
          <w:szCs w:val="22"/>
        </w:rPr>
      </w:pPr>
    </w:p>
    <w:p w14:paraId="023BF615" w14:textId="77777777" w:rsidR="00184A59" w:rsidRDefault="00D37048" w:rsidP="00A976BF">
      <w:pPr>
        <w:pStyle w:val="BasicParagraph"/>
        <w:ind w:left="1440"/>
      </w:pPr>
      <w:r>
        <w:rPr>
          <w:b/>
        </w:rPr>
        <w:t>3.1.1</w:t>
      </w:r>
      <w:r w:rsidRPr="009823D5">
        <w:rPr>
          <w:b/>
        </w:rPr>
        <w:t xml:space="preserve"> </w:t>
      </w:r>
      <w:r w:rsidRPr="00B32486">
        <w:t xml:space="preserve">Create </w:t>
      </w:r>
      <w:r>
        <w:t>strategies and establish funding streams</w:t>
      </w:r>
      <w:r w:rsidRPr="00B32486">
        <w:t xml:space="preserve"> to preserve and maintain existing affordable housing supply, such as rehabilitating low-income</w:t>
      </w:r>
      <w:r>
        <w:t>,</w:t>
      </w:r>
      <w:r w:rsidRPr="00B32486">
        <w:t xml:space="preserve"> owner-occupied housing and preserving assisted rental housing. </w:t>
      </w:r>
    </w:p>
    <w:p w14:paraId="515C3C33" w14:textId="77777777" w:rsidR="00184A59" w:rsidRDefault="00184A59" w:rsidP="00A976BF">
      <w:pPr>
        <w:pStyle w:val="BasicParagraph"/>
        <w:ind w:left="1440"/>
        <w:rPr>
          <w:b/>
        </w:rPr>
      </w:pPr>
    </w:p>
    <w:p w14:paraId="5A7E4FB0" w14:textId="77777777" w:rsidR="00184A59" w:rsidRDefault="00D37048" w:rsidP="00A976BF">
      <w:pPr>
        <w:pStyle w:val="BasicParagraph"/>
        <w:ind w:left="1440"/>
      </w:pPr>
      <w:r>
        <w:rPr>
          <w:b/>
        </w:rPr>
        <w:t>3.1.2</w:t>
      </w:r>
      <w:r w:rsidRPr="00B32486">
        <w:t xml:space="preserve"> Develop an inclusionary hous</w:t>
      </w:r>
      <w:r>
        <w:t xml:space="preserve">ing incentive policy that </w:t>
      </w:r>
      <w:r w:rsidRPr="00B32486">
        <w:t>include</w:t>
      </w:r>
      <w:r>
        <w:t>s</w:t>
      </w:r>
      <w:r w:rsidRPr="00B32486">
        <w:t xml:space="preserve"> incentives such as density bonuses, financial support to nonprofit housing developers</w:t>
      </w:r>
      <w:r>
        <w:t>,</w:t>
      </w:r>
      <w:r w:rsidRPr="00B32486">
        <w:t xml:space="preserve"> and fee waivers.</w:t>
      </w:r>
    </w:p>
    <w:p w14:paraId="3AC3F7A4" w14:textId="77777777" w:rsidR="00184A59" w:rsidRDefault="00184A59" w:rsidP="00A976BF">
      <w:pPr>
        <w:pStyle w:val="BasicParagraph"/>
        <w:ind w:left="1440"/>
        <w:rPr>
          <w:b/>
        </w:rPr>
      </w:pPr>
    </w:p>
    <w:p w14:paraId="0B002D37" w14:textId="77777777" w:rsidR="00184A59" w:rsidRDefault="00D37048" w:rsidP="00A976BF">
      <w:pPr>
        <w:pStyle w:val="BasicParagraph"/>
        <w:ind w:left="1440"/>
      </w:pPr>
      <w:r>
        <w:rPr>
          <w:b/>
        </w:rPr>
        <w:t>3.1</w:t>
      </w:r>
      <w:r w:rsidRPr="00B32486">
        <w:rPr>
          <w:b/>
        </w:rPr>
        <w:t>.</w:t>
      </w:r>
      <w:r>
        <w:rPr>
          <w:b/>
        </w:rPr>
        <w:t>3</w:t>
      </w:r>
      <w:r>
        <w:t xml:space="preserve"> Coordinate housing-related efforts across</w:t>
      </w:r>
      <w:r w:rsidRPr="00B32486">
        <w:t xml:space="preserve"> all agencies and departments</w:t>
      </w:r>
      <w:r>
        <w:t xml:space="preserve">, and tailor strategies </w:t>
      </w:r>
      <w:r w:rsidRPr="00B32486">
        <w:t>to re</w:t>
      </w:r>
      <w:r>
        <w:t>spond to existing and projected demographics and market demand.</w:t>
      </w:r>
    </w:p>
    <w:p w14:paraId="20D35A45" w14:textId="77777777" w:rsidR="00184A59" w:rsidRDefault="00184A59" w:rsidP="00A976BF">
      <w:pPr>
        <w:pStyle w:val="BasicParagraph"/>
        <w:ind w:left="1440"/>
      </w:pPr>
    </w:p>
    <w:p w14:paraId="673AC0E3" w14:textId="77777777" w:rsidR="00184A59" w:rsidRDefault="00D37048" w:rsidP="00A976BF">
      <w:pPr>
        <w:pStyle w:val="BasicParagraph"/>
        <w:ind w:left="1440"/>
      </w:pPr>
      <w:r>
        <w:rPr>
          <w:b/>
        </w:rPr>
        <w:t>3.1</w:t>
      </w:r>
      <w:r w:rsidRPr="008A676F">
        <w:rPr>
          <w:b/>
        </w:rPr>
        <w:t>.</w:t>
      </w:r>
      <w:r>
        <w:rPr>
          <w:b/>
        </w:rPr>
        <w:t>4</w:t>
      </w:r>
      <w:r>
        <w:t xml:space="preserve"> Work across departments to align housing development and economic development </w:t>
      </w:r>
      <w:r w:rsidRPr="008A676F">
        <w:t>strategies</w:t>
      </w:r>
      <w:r>
        <w:t xml:space="preserve"> to ensure housing affordable to people working in planned jobs or industries</w:t>
      </w:r>
      <w:r w:rsidRPr="008A676F">
        <w:t>.</w:t>
      </w:r>
      <w:r>
        <w:t xml:space="preserve"> </w:t>
      </w:r>
    </w:p>
    <w:p w14:paraId="5406AAAB" w14:textId="77777777" w:rsidR="00184A59" w:rsidRDefault="00184A59" w:rsidP="00A976BF">
      <w:pPr>
        <w:pStyle w:val="BasicParagraph"/>
        <w:ind w:left="1440"/>
        <w:rPr>
          <w:b/>
        </w:rPr>
      </w:pPr>
    </w:p>
    <w:p w14:paraId="1ECE32AC" w14:textId="77777777" w:rsidR="00184A59" w:rsidRDefault="00D37048" w:rsidP="00A976BF">
      <w:pPr>
        <w:pStyle w:val="BasicParagraph"/>
        <w:ind w:left="1440"/>
      </w:pPr>
      <w:r>
        <w:rPr>
          <w:b/>
        </w:rPr>
        <w:t>3.1</w:t>
      </w:r>
      <w:r w:rsidRPr="00B32486">
        <w:rPr>
          <w:b/>
        </w:rPr>
        <w:t>.</w:t>
      </w:r>
      <w:r>
        <w:rPr>
          <w:b/>
        </w:rPr>
        <w:t>5</w:t>
      </w:r>
      <w:r w:rsidRPr="00B32486">
        <w:t xml:space="preserve"> Provide adequate rental and ownership housing opportunities and supportive services for seniors, people with disabilities, families with children</w:t>
      </w:r>
      <w:r>
        <w:t xml:space="preserve"> or multi-generational families</w:t>
      </w:r>
      <w:r w:rsidRPr="00B32486">
        <w:t>, and people needing emergency, transitional, or supportive housing</w:t>
      </w:r>
      <w:r>
        <w:t>.</w:t>
      </w:r>
    </w:p>
    <w:p w14:paraId="677AAE13" w14:textId="77777777" w:rsidR="00184A59" w:rsidRDefault="00184A59" w:rsidP="00A976BF">
      <w:pPr>
        <w:pStyle w:val="BasicParagraph"/>
        <w:ind w:left="1440"/>
      </w:pPr>
    </w:p>
    <w:p w14:paraId="6874F494" w14:textId="77777777" w:rsidR="00184A59" w:rsidRDefault="00D37048" w:rsidP="00A976BF">
      <w:pPr>
        <w:pStyle w:val="BasicParagraph"/>
        <w:ind w:left="1440"/>
      </w:pPr>
      <w:r>
        <w:rPr>
          <w:b/>
        </w:rPr>
        <w:t>3.1.8</w:t>
      </w:r>
      <w:r w:rsidRPr="009823D5">
        <w:rPr>
          <w:b/>
        </w:rPr>
        <w:t xml:space="preserve"> </w:t>
      </w:r>
      <w:r w:rsidRPr="00B32486">
        <w:t xml:space="preserve">Take a leadership role in regional efforts to increase affordable housing preservation and production, while also maintaining the </w:t>
      </w:r>
      <w:r>
        <w:t>[</w:t>
      </w:r>
      <w:r>
        <w:rPr>
          <w:i/>
          <w:u w:val="single"/>
        </w:rPr>
        <w:t>City/County’s</w:t>
      </w:r>
      <w:r>
        <w:t>]</w:t>
      </w:r>
      <w:r w:rsidRPr="00B32486">
        <w:t xml:space="preserve"> commitment to affordable housing</w:t>
      </w:r>
      <w:r>
        <w:t>.</w:t>
      </w:r>
    </w:p>
    <w:p w14:paraId="69D7BE42" w14:textId="77777777" w:rsidR="00184A59" w:rsidRDefault="00184A59" w:rsidP="00A976BF">
      <w:pPr>
        <w:pStyle w:val="BasicParagraph"/>
        <w:ind w:left="1440"/>
      </w:pPr>
    </w:p>
    <w:p w14:paraId="14AAEAC8" w14:textId="77777777" w:rsidR="00184A59" w:rsidRDefault="00D37048" w:rsidP="00A976BF">
      <w:pPr>
        <w:pStyle w:val="BasicParagraph"/>
        <w:ind w:left="1440"/>
      </w:pPr>
      <w:r>
        <w:rPr>
          <w:b/>
        </w:rPr>
        <w:t>3.1.9</w:t>
      </w:r>
      <w:r w:rsidRPr="00B32486">
        <w:t xml:space="preserve"> Ensure compliance with all state and federal regulations relating to housing opportunities and discrimination</w:t>
      </w:r>
      <w:r>
        <w:t xml:space="preserve"> prevention</w:t>
      </w:r>
      <w:r w:rsidRPr="00B32486">
        <w:t>.</w:t>
      </w:r>
    </w:p>
    <w:p w14:paraId="7BFDB758" w14:textId="77777777" w:rsidR="00D37048" w:rsidRDefault="00D37048" w:rsidP="00D37048">
      <w:pPr>
        <w:ind w:left="1440"/>
        <w:rPr>
          <w:rFonts w:ascii="Calibri" w:hAnsi="Calibri"/>
          <w:sz w:val="22"/>
          <w:szCs w:val="22"/>
        </w:rPr>
      </w:pPr>
    </w:p>
    <w:p w14:paraId="4F6FB01E" w14:textId="77777777" w:rsidR="00184A59" w:rsidRPr="00A976BF" w:rsidRDefault="00BF67A0" w:rsidP="00A976BF">
      <w:pPr>
        <w:pStyle w:val="BasicParagraph"/>
        <w:ind w:left="720"/>
        <w:rPr>
          <w:b/>
          <w:i/>
        </w:rPr>
      </w:pPr>
      <w:r w:rsidRPr="00A976BF">
        <w:rPr>
          <w:b/>
          <w:i/>
        </w:rPr>
        <w:lastRenderedPageBreak/>
        <w:t>3.2: Ensure that new infill and housing development supports health by improving access to quality affordable housing.</w:t>
      </w:r>
    </w:p>
    <w:p w14:paraId="0AC44033" w14:textId="77777777" w:rsidR="00184A59" w:rsidRPr="00A976BF" w:rsidRDefault="00184A59" w:rsidP="00A976BF">
      <w:pPr>
        <w:pStyle w:val="BasicParagraph"/>
        <w:ind w:left="360"/>
        <w:rPr>
          <w:b/>
          <w:i/>
        </w:rPr>
      </w:pPr>
    </w:p>
    <w:p w14:paraId="25DF9B14" w14:textId="77777777" w:rsidR="00184A59" w:rsidRDefault="00D37048" w:rsidP="00A976BF">
      <w:pPr>
        <w:pStyle w:val="BasicParagraph"/>
        <w:ind w:left="1440"/>
      </w:pPr>
      <w:r>
        <w:rPr>
          <w:b/>
        </w:rPr>
        <w:t>3.2.1</w:t>
      </w:r>
      <w:r w:rsidRPr="00B32486">
        <w:t xml:space="preserve"> </w:t>
      </w:r>
      <w:r w:rsidRPr="009823D5">
        <w:t>Require, incentivize, or subsidize creation of subsidized affordable housing, including deeply subsidized or deeply affordable housing, in transit-served areas and areas identified for compact, mixed-use development</w:t>
      </w:r>
      <w:r>
        <w:t xml:space="preserve">. </w:t>
      </w:r>
    </w:p>
    <w:p w14:paraId="0E4D0ABC" w14:textId="77777777" w:rsidR="00D37048" w:rsidRPr="00B32486" w:rsidRDefault="00D37048" w:rsidP="00D37048">
      <w:pPr>
        <w:ind w:left="1440"/>
        <w:rPr>
          <w:rFonts w:ascii="Calibri" w:hAnsi="Calibri"/>
          <w:b/>
          <w:sz w:val="22"/>
          <w:szCs w:val="22"/>
        </w:rPr>
      </w:pPr>
    </w:p>
    <w:p w14:paraId="3CA1982D" w14:textId="77777777" w:rsidR="00184A59" w:rsidRPr="00A976BF" w:rsidRDefault="00BF67A0" w:rsidP="00A976BF">
      <w:pPr>
        <w:pStyle w:val="BasicParagraph"/>
        <w:ind w:left="720"/>
        <w:rPr>
          <w:b/>
          <w:i/>
        </w:rPr>
      </w:pPr>
      <w:r w:rsidRPr="00A976BF">
        <w:rPr>
          <w:b/>
          <w:i/>
        </w:rPr>
        <w:t>3.3: Ensure that all residents can enjoy the security of living in violence-free housing.</w:t>
      </w:r>
    </w:p>
    <w:p w14:paraId="1E57D3EF" w14:textId="77777777" w:rsidR="00D37048" w:rsidRPr="00B32486" w:rsidRDefault="00D37048" w:rsidP="00D37048">
      <w:pPr>
        <w:ind w:left="720"/>
        <w:rPr>
          <w:rFonts w:ascii="Calibri" w:hAnsi="Calibri"/>
          <w:sz w:val="22"/>
          <w:szCs w:val="22"/>
        </w:rPr>
      </w:pPr>
    </w:p>
    <w:p w14:paraId="2A6A4CA5" w14:textId="77777777" w:rsidR="00184A59" w:rsidRDefault="00D37048" w:rsidP="00A976BF">
      <w:pPr>
        <w:pStyle w:val="BasicParagraph"/>
        <w:ind w:left="1440"/>
      </w:pPr>
      <w:r>
        <w:rPr>
          <w:b/>
        </w:rPr>
        <w:t>3.3</w:t>
      </w:r>
      <w:r w:rsidRPr="00B32486">
        <w:rPr>
          <w:b/>
        </w:rPr>
        <w:t>.1</w:t>
      </w:r>
      <w:r w:rsidRPr="00B32486">
        <w:t xml:space="preserve"> Locate housing developments near services that support families, </w:t>
      </w:r>
      <w:r>
        <w:t>such as</w:t>
      </w:r>
      <w:r w:rsidRPr="00B32486">
        <w:t xml:space="preserve"> violence prevention services.</w:t>
      </w:r>
    </w:p>
    <w:p w14:paraId="4B0B2118" w14:textId="77777777" w:rsidR="00184A59" w:rsidRDefault="00184A59" w:rsidP="00A976BF">
      <w:pPr>
        <w:pStyle w:val="BasicParagraph"/>
        <w:ind w:left="1440"/>
      </w:pPr>
    </w:p>
    <w:p w14:paraId="050176AE" w14:textId="77777777" w:rsidR="00184A59" w:rsidRDefault="00D37048" w:rsidP="00A976BF">
      <w:pPr>
        <w:pStyle w:val="BasicParagraph"/>
        <w:ind w:left="1440"/>
      </w:pPr>
      <w:r>
        <w:rPr>
          <w:b/>
        </w:rPr>
        <w:t>3.3</w:t>
      </w:r>
      <w:r w:rsidRPr="00B32486">
        <w:rPr>
          <w:b/>
        </w:rPr>
        <w:t xml:space="preserve">.2 </w:t>
      </w:r>
      <w:r w:rsidRPr="00B32486">
        <w:t>Review ordinances and make recommendations for amending</w:t>
      </w:r>
      <w:r>
        <w:t xml:space="preserve"> them</w:t>
      </w:r>
      <w:r w:rsidRPr="00B32486">
        <w:t xml:space="preserve"> as necessary to protect victims of violence, such as reviewing nuisance ordinances to ensure that victims of domestic or family violence are not penalized for multiple police visits to their homes.</w:t>
      </w:r>
    </w:p>
    <w:p w14:paraId="2432A656" w14:textId="77777777" w:rsidR="00184A59" w:rsidRDefault="00184A59" w:rsidP="00A976BF">
      <w:pPr>
        <w:pStyle w:val="BasicParagraph"/>
        <w:ind w:left="1440"/>
      </w:pPr>
    </w:p>
    <w:p w14:paraId="462402C4" w14:textId="77777777" w:rsidR="00D37048" w:rsidRDefault="00D37048" w:rsidP="0052296C">
      <w:pPr>
        <w:pStyle w:val="BasicParagraph"/>
        <w:ind w:left="1440"/>
      </w:pPr>
      <w:r>
        <w:rPr>
          <w:b/>
        </w:rPr>
        <w:t>3.3</w:t>
      </w:r>
      <w:r w:rsidRPr="00B32486">
        <w:rPr>
          <w:b/>
        </w:rPr>
        <w:t xml:space="preserve">.3 </w:t>
      </w:r>
      <w:r w:rsidRPr="00B32486">
        <w:t>Reduce the external conditions that lead to violence within the home (such as overcrowding) and partner with other agencies and departments to respond effectively.</w:t>
      </w:r>
    </w:p>
    <w:p w14:paraId="6E8AE4A7" w14:textId="77777777" w:rsidR="00184A59" w:rsidRDefault="00184A59" w:rsidP="00A976BF">
      <w:pPr>
        <w:pStyle w:val="BasicParagraph"/>
        <w:ind w:left="1440"/>
      </w:pPr>
    </w:p>
    <w:p w14:paraId="6172D77F" w14:textId="77777777" w:rsidR="00D37048" w:rsidRPr="00B32486" w:rsidRDefault="00D37048" w:rsidP="00D37048">
      <w:pPr>
        <w:rPr>
          <w:rFonts w:ascii="Calibri" w:hAnsi="Calibri"/>
          <w:sz w:val="22"/>
          <w:szCs w:val="22"/>
        </w:rPr>
      </w:pPr>
    </w:p>
    <w:p w14:paraId="0DC214A8" w14:textId="77777777" w:rsidR="00184A59" w:rsidRPr="00A976BF" w:rsidRDefault="00BF67A0" w:rsidP="00A976BF">
      <w:pPr>
        <w:pStyle w:val="BasicParagraph"/>
        <w:rPr>
          <w:b/>
          <w:caps/>
          <w:color w:val="02598B"/>
          <w:sz w:val="28"/>
        </w:rPr>
      </w:pPr>
      <w:r w:rsidRPr="00A976BF">
        <w:rPr>
          <w:b/>
          <w:color w:val="02598B"/>
          <w:sz w:val="28"/>
        </w:rPr>
        <w:t xml:space="preserve">Section 4: Healthy </w:t>
      </w:r>
      <w:r w:rsidR="00C24374">
        <w:rPr>
          <w:b/>
          <w:color w:val="02598B"/>
          <w:sz w:val="28"/>
        </w:rPr>
        <w:t>a</w:t>
      </w:r>
      <w:r w:rsidRPr="00A976BF">
        <w:rPr>
          <w:b/>
          <w:color w:val="02598B"/>
          <w:sz w:val="28"/>
        </w:rPr>
        <w:t>nd Equitable Neighborhoods</w:t>
      </w:r>
    </w:p>
    <w:p w14:paraId="699F2B9F" w14:textId="77777777" w:rsidR="00D37048" w:rsidRPr="00B32486" w:rsidRDefault="00D37048" w:rsidP="00D37048">
      <w:pPr>
        <w:rPr>
          <w:rFonts w:ascii="Calibri" w:hAnsi="Calibri"/>
          <w:b/>
          <w:sz w:val="22"/>
          <w:szCs w:val="22"/>
        </w:rPr>
      </w:pPr>
    </w:p>
    <w:p w14:paraId="1A59749D" w14:textId="77777777" w:rsidR="00184A59" w:rsidRPr="00A976BF" w:rsidRDefault="00BF67A0" w:rsidP="00A976BF">
      <w:pPr>
        <w:pStyle w:val="BasicParagraph"/>
        <w:rPr>
          <w:b/>
        </w:rPr>
      </w:pPr>
      <w:r w:rsidRPr="00A976BF">
        <w:rPr>
          <w:b/>
        </w:rPr>
        <w:t>Goal 4: Create and maintain complete neighborhoods that include quality housing affordable to a diverse mix of residents and households, well-maintained infrastructure, safe conditions, and access to community resources and public facilities.</w:t>
      </w:r>
    </w:p>
    <w:p w14:paraId="74DB7C8E" w14:textId="77777777" w:rsidR="00184A59" w:rsidRPr="00A976BF" w:rsidRDefault="00184A59" w:rsidP="00A976BF">
      <w:pPr>
        <w:pStyle w:val="BasicParagraph"/>
        <w:rPr>
          <w:b/>
          <w:i/>
        </w:rPr>
      </w:pPr>
    </w:p>
    <w:p w14:paraId="23464567" w14:textId="77777777" w:rsidR="00184A59" w:rsidRPr="00A976BF" w:rsidRDefault="00BF67A0" w:rsidP="00A976BF">
      <w:pPr>
        <w:pStyle w:val="BasicParagraph"/>
        <w:ind w:left="720"/>
        <w:rPr>
          <w:b/>
          <w:i/>
        </w:rPr>
      </w:pPr>
      <w:r w:rsidRPr="00A976BF">
        <w:rPr>
          <w:b/>
          <w:i/>
        </w:rPr>
        <w:t>Objective 4.1: Encourage the development of diverse neighborhoods containing a broad mix of housing types affordable to a diversity of income levels.</w:t>
      </w:r>
    </w:p>
    <w:p w14:paraId="59E156F5" w14:textId="77777777" w:rsidR="00D37048" w:rsidRPr="00B32486" w:rsidRDefault="00D37048" w:rsidP="00D37048">
      <w:pPr>
        <w:ind w:left="720"/>
        <w:rPr>
          <w:rFonts w:ascii="Calibri" w:hAnsi="Calibri"/>
          <w:b/>
          <w:i/>
          <w:sz w:val="22"/>
          <w:szCs w:val="22"/>
        </w:rPr>
      </w:pPr>
      <w:r w:rsidRPr="00B32486">
        <w:rPr>
          <w:rFonts w:ascii="Calibri" w:hAnsi="Calibri"/>
          <w:b/>
          <w:i/>
          <w:sz w:val="22"/>
          <w:szCs w:val="22"/>
        </w:rPr>
        <w:tab/>
      </w:r>
    </w:p>
    <w:p w14:paraId="34D1ED57" w14:textId="77777777" w:rsidR="00184A59" w:rsidRDefault="00D37048" w:rsidP="00A976BF">
      <w:pPr>
        <w:pStyle w:val="BasicParagraph"/>
        <w:ind w:left="1440"/>
      </w:pPr>
      <w:r>
        <w:rPr>
          <w:b/>
        </w:rPr>
        <w:t>4</w:t>
      </w:r>
      <w:r w:rsidRPr="00B32486">
        <w:rPr>
          <w:b/>
        </w:rPr>
        <w:t>.1.1</w:t>
      </w:r>
      <w:r w:rsidRPr="00B32486">
        <w:t xml:space="preserve"> </w:t>
      </w:r>
      <w:r>
        <w:t>Review and revise zoning and other policies to a</w:t>
      </w:r>
      <w:r w:rsidRPr="00B32486">
        <w:t>llow a variety of housing densities and types throughout the community to accommodate housing needs at all income levels.</w:t>
      </w:r>
    </w:p>
    <w:p w14:paraId="748AF181" w14:textId="77777777" w:rsidR="00184A59" w:rsidRDefault="00184A59" w:rsidP="00A976BF">
      <w:pPr>
        <w:pStyle w:val="BasicParagraph"/>
        <w:ind w:left="1440"/>
      </w:pPr>
    </w:p>
    <w:p w14:paraId="115FC5F8" w14:textId="77777777" w:rsidR="00184A59" w:rsidRDefault="00D37048" w:rsidP="00A976BF">
      <w:pPr>
        <w:pStyle w:val="BasicParagraph"/>
        <w:ind w:left="1440"/>
      </w:pPr>
      <w:r>
        <w:rPr>
          <w:b/>
        </w:rPr>
        <w:t>4.1.2</w:t>
      </w:r>
      <w:r w:rsidRPr="009823D5">
        <w:rPr>
          <w:b/>
        </w:rPr>
        <w:t xml:space="preserve"> </w:t>
      </w:r>
      <w:r>
        <w:t>Develop</w:t>
      </w:r>
      <w:r w:rsidRPr="00B32486">
        <w:t xml:space="preserve"> affordable housing units throughout the community to avoid concentration in any one neighborhood.</w:t>
      </w:r>
      <w:r>
        <w:t xml:space="preserve"> </w:t>
      </w:r>
    </w:p>
    <w:p w14:paraId="223A8859" w14:textId="77777777" w:rsidR="00D37048" w:rsidRPr="00B32486" w:rsidRDefault="00D37048" w:rsidP="00D37048">
      <w:pPr>
        <w:rPr>
          <w:rFonts w:ascii="Calibri" w:hAnsi="Calibri"/>
          <w:b/>
          <w:i/>
          <w:sz w:val="22"/>
          <w:szCs w:val="22"/>
        </w:rPr>
      </w:pPr>
    </w:p>
    <w:p w14:paraId="3A8D7C39" w14:textId="77777777" w:rsidR="00184A59" w:rsidRPr="00A976BF" w:rsidRDefault="00BF67A0" w:rsidP="00A976BF">
      <w:pPr>
        <w:pStyle w:val="BasicParagraph"/>
        <w:ind w:left="720"/>
        <w:rPr>
          <w:b/>
          <w:i/>
        </w:rPr>
      </w:pPr>
      <w:r w:rsidRPr="00A976BF">
        <w:rPr>
          <w:b/>
          <w:i/>
        </w:rPr>
        <w:t>4.2: Support neighborhood quality by maintaining and improving the condition of existing infrastructure and enhancing infrastructure where needed.</w:t>
      </w:r>
    </w:p>
    <w:p w14:paraId="60E371E5" w14:textId="77777777" w:rsidR="00D37048" w:rsidRPr="00B32486" w:rsidRDefault="00D37048" w:rsidP="00D37048">
      <w:pPr>
        <w:ind w:left="720"/>
        <w:rPr>
          <w:rFonts w:ascii="Calibri" w:hAnsi="Calibri"/>
          <w:b/>
          <w:i/>
          <w:sz w:val="22"/>
          <w:szCs w:val="22"/>
        </w:rPr>
      </w:pPr>
    </w:p>
    <w:p w14:paraId="10953A35" w14:textId="77777777" w:rsidR="00184A59" w:rsidRDefault="00D37048" w:rsidP="00A976BF">
      <w:pPr>
        <w:pStyle w:val="BasicParagraph"/>
        <w:ind w:left="1440"/>
      </w:pPr>
      <w:r>
        <w:rPr>
          <w:b/>
        </w:rPr>
        <w:t>4</w:t>
      </w:r>
      <w:r w:rsidRPr="00B32486">
        <w:rPr>
          <w:b/>
        </w:rPr>
        <w:t>.2.1</w:t>
      </w:r>
      <w:r w:rsidRPr="00B32486">
        <w:t xml:space="preserve"> Identify funding streams to support initiatives that improve the appearance, function, and safety of residential </w:t>
      </w:r>
      <w:r>
        <w:t>areas</w:t>
      </w:r>
      <w:r w:rsidRPr="00B32486">
        <w:t xml:space="preserve">, including </w:t>
      </w:r>
      <w:r>
        <w:t xml:space="preserve">streets and sidewalks, utilities, </w:t>
      </w:r>
      <w:r w:rsidRPr="00B32486">
        <w:t xml:space="preserve">storm drains, sewers, waste management, street cleaning, and public landscaping. </w:t>
      </w:r>
    </w:p>
    <w:p w14:paraId="47E6B8D4" w14:textId="77777777" w:rsidR="00184A59" w:rsidRDefault="00184A59" w:rsidP="00A976BF">
      <w:pPr>
        <w:ind w:left="720"/>
        <w:rPr>
          <w:rFonts w:ascii="Calibri" w:hAnsi="Calibri"/>
          <w:b/>
          <w:sz w:val="22"/>
          <w:szCs w:val="22"/>
        </w:rPr>
      </w:pPr>
    </w:p>
    <w:p w14:paraId="794D71FB" w14:textId="77777777" w:rsidR="00184A59" w:rsidRPr="00A976BF" w:rsidRDefault="00BF67A0" w:rsidP="00A976BF">
      <w:pPr>
        <w:pStyle w:val="BasicParagraph"/>
        <w:ind w:left="720"/>
        <w:rPr>
          <w:b/>
          <w:i/>
        </w:rPr>
      </w:pPr>
      <w:r w:rsidRPr="00A976BF">
        <w:rPr>
          <w:b/>
          <w:i/>
        </w:rPr>
        <w:t xml:space="preserve">4.3: Ensure that all neighborhoods are </w:t>
      </w:r>
      <w:proofErr w:type="gramStart"/>
      <w:r w:rsidRPr="00A976BF">
        <w:rPr>
          <w:b/>
          <w:i/>
        </w:rPr>
        <w:t>injury- and violence-free</w:t>
      </w:r>
      <w:proofErr w:type="gramEnd"/>
      <w:r w:rsidRPr="00A976BF">
        <w:rPr>
          <w:b/>
          <w:i/>
        </w:rPr>
        <w:t>.</w:t>
      </w:r>
    </w:p>
    <w:p w14:paraId="2B1AA9A3" w14:textId="77777777" w:rsidR="00D37048" w:rsidRPr="00B32486" w:rsidRDefault="00D37048" w:rsidP="00D37048">
      <w:pPr>
        <w:ind w:left="720"/>
        <w:rPr>
          <w:rFonts w:ascii="Calibri" w:hAnsi="Calibri"/>
          <w:b/>
          <w:i/>
          <w:sz w:val="22"/>
          <w:szCs w:val="22"/>
        </w:rPr>
      </w:pPr>
    </w:p>
    <w:p w14:paraId="38EAAB01" w14:textId="77777777" w:rsidR="00184A59" w:rsidRDefault="00D37048" w:rsidP="00A976BF">
      <w:pPr>
        <w:pStyle w:val="BasicParagraph"/>
        <w:ind w:left="1440"/>
      </w:pPr>
      <w:r>
        <w:rPr>
          <w:b/>
        </w:rPr>
        <w:t>4</w:t>
      </w:r>
      <w:r w:rsidRPr="00B32486">
        <w:rPr>
          <w:b/>
        </w:rPr>
        <w:t>.3.1</w:t>
      </w:r>
      <w:r w:rsidRPr="00B32486">
        <w:t xml:space="preserve"> Incorporate “Crime Prevention through Environmental Design” standards into design guidelines, codes, and project review.</w:t>
      </w:r>
    </w:p>
    <w:p w14:paraId="1DAF2892" w14:textId="77777777" w:rsidR="00184A59" w:rsidRDefault="00184A59" w:rsidP="00A976BF">
      <w:pPr>
        <w:pStyle w:val="BasicParagraph"/>
        <w:ind w:left="1440"/>
      </w:pPr>
    </w:p>
    <w:p w14:paraId="63B42F65" w14:textId="77777777" w:rsidR="00184A59" w:rsidRDefault="00D37048" w:rsidP="00A976BF">
      <w:pPr>
        <w:pStyle w:val="BasicParagraph"/>
        <w:ind w:left="1440"/>
      </w:pPr>
      <w:r>
        <w:rPr>
          <w:b/>
        </w:rPr>
        <w:t>4.3</w:t>
      </w:r>
      <w:r w:rsidRPr="00B32486">
        <w:rPr>
          <w:b/>
        </w:rPr>
        <w:t>.</w:t>
      </w:r>
      <w:r>
        <w:rPr>
          <w:b/>
        </w:rPr>
        <w:t>2</w:t>
      </w:r>
      <w:r w:rsidRPr="00B32486">
        <w:t xml:space="preserve"> Ass</w:t>
      </w:r>
      <w:r>
        <w:t xml:space="preserve">ess need of fences and barriers, and </w:t>
      </w:r>
      <w:r w:rsidRPr="00B32486">
        <w:t>only include fences or barriers if safety risk is apparent. Incorporate design elements such as murals, cultural art</w:t>
      </w:r>
      <w:r>
        <w:t>,</w:t>
      </w:r>
      <w:r w:rsidRPr="00B32486">
        <w:t xml:space="preserve"> or landscaping in place of fences.</w:t>
      </w:r>
    </w:p>
    <w:p w14:paraId="128B250A" w14:textId="77777777" w:rsidR="00184A59" w:rsidRDefault="00184A59" w:rsidP="00A976BF">
      <w:pPr>
        <w:pStyle w:val="BasicParagraph"/>
        <w:ind w:left="1440"/>
        <w:rPr>
          <w:b/>
        </w:rPr>
      </w:pPr>
    </w:p>
    <w:p w14:paraId="7F18A0F5" w14:textId="77777777" w:rsidR="00184A59" w:rsidRDefault="00D37048" w:rsidP="00A976BF">
      <w:pPr>
        <w:pStyle w:val="BasicParagraph"/>
        <w:ind w:left="1440"/>
      </w:pPr>
      <w:r>
        <w:rPr>
          <w:b/>
        </w:rPr>
        <w:t>4</w:t>
      </w:r>
      <w:r w:rsidRPr="00B32486">
        <w:rPr>
          <w:b/>
        </w:rPr>
        <w:t>.3.</w:t>
      </w:r>
      <w:r>
        <w:rPr>
          <w:b/>
        </w:rPr>
        <w:t>3</w:t>
      </w:r>
      <w:r w:rsidRPr="00B32486">
        <w:t xml:space="preserve"> Create, maintain</w:t>
      </w:r>
      <w:r>
        <w:t>,</w:t>
      </w:r>
      <w:r w:rsidRPr="00B32486">
        <w:t xml:space="preserve"> and supervise spaces for residents </w:t>
      </w:r>
      <w:r>
        <w:t>that</w:t>
      </w:r>
      <w:r w:rsidRPr="00B32486">
        <w:t xml:space="preserve"> promote</w:t>
      </w:r>
      <w:r>
        <w:t xml:space="preserve"> a sense of place and community, s</w:t>
      </w:r>
      <w:r w:rsidRPr="00B32486">
        <w:t>uch as</w:t>
      </w:r>
      <w:r>
        <w:t>:</w:t>
      </w:r>
      <w:r w:rsidRPr="00B32486">
        <w:t xml:space="preserve"> gardens, cultural plazas, playgrounds and community centers, outdoor and indoor seating areas, fountains, small stages or platforms for performance, public bulletin boards, and murals.</w:t>
      </w:r>
    </w:p>
    <w:p w14:paraId="6EE3DD46" w14:textId="77777777" w:rsidR="00184A59" w:rsidRDefault="00184A59" w:rsidP="00A976BF">
      <w:pPr>
        <w:pStyle w:val="BasicParagraph"/>
        <w:ind w:left="1440"/>
      </w:pPr>
    </w:p>
    <w:p w14:paraId="36ACB374" w14:textId="77777777" w:rsidR="00184A59" w:rsidRDefault="00D37048" w:rsidP="00A976BF">
      <w:pPr>
        <w:pStyle w:val="BasicParagraph"/>
        <w:ind w:left="1440"/>
      </w:pPr>
      <w:r>
        <w:rPr>
          <w:b/>
        </w:rPr>
        <w:t>4.3</w:t>
      </w:r>
      <w:r w:rsidRPr="00B32486">
        <w:rPr>
          <w:b/>
        </w:rPr>
        <w:t>.4</w:t>
      </w:r>
      <w:r>
        <w:t xml:space="preserve"> Partner with public agencies and community organizations</w:t>
      </w:r>
      <w:r w:rsidRPr="00B32486">
        <w:t xml:space="preserve"> to strengthen policies and programs that prevent violence, such as programs that assist juveniles and adults who are re-entering their communities following incarceration.</w:t>
      </w:r>
    </w:p>
    <w:p w14:paraId="1A6D27B5" w14:textId="77777777" w:rsidR="00184A59" w:rsidRDefault="00184A59" w:rsidP="00A976BF">
      <w:pPr>
        <w:pStyle w:val="BasicParagraph"/>
        <w:ind w:left="1440"/>
      </w:pPr>
    </w:p>
    <w:p w14:paraId="689917EE" w14:textId="77777777" w:rsidR="00184A59" w:rsidRDefault="00D37048" w:rsidP="00A976BF">
      <w:pPr>
        <w:pStyle w:val="BasicParagraph"/>
        <w:ind w:left="1440"/>
      </w:pPr>
      <w:r>
        <w:rPr>
          <w:b/>
        </w:rPr>
        <w:t>4.3</w:t>
      </w:r>
      <w:r w:rsidRPr="00B32486">
        <w:rPr>
          <w:b/>
        </w:rPr>
        <w:t xml:space="preserve">.5 </w:t>
      </w:r>
      <w:r w:rsidRPr="00B32486">
        <w:t>Create and implement street design strategies to facilitate safer public spaces, including encouraging s</w:t>
      </w:r>
      <w:r>
        <w:t>treet-oriented</w:t>
      </w:r>
      <w:r w:rsidRPr="00B32486">
        <w:t xml:space="preserve"> buildings, providing pedestrian-scale lighting, encouraging ground-level business uses that support pedestrian activity (such as retail and restaurants), and increasing street connectivity.</w:t>
      </w:r>
    </w:p>
    <w:p w14:paraId="5437E2BF" w14:textId="77777777" w:rsidR="00D37048" w:rsidRPr="00B32486" w:rsidRDefault="00D37048" w:rsidP="00D37048">
      <w:pPr>
        <w:rPr>
          <w:rFonts w:ascii="Calibri" w:hAnsi="Calibri"/>
          <w:b/>
          <w:i/>
          <w:sz w:val="22"/>
          <w:szCs w:val="22"/>
        </w:rPr>
      </w:pPr>
    </w:p>
    <w:p w14:paraId="7F0298B1" w14:textId="77777777" w:rsidR="00184A59" w:rsidRPr="00A976BF" w:rsidRDefault="00BF67A0" w:rsidP="00A976BF">
      <w:pPr>
        <w:pStyle w:val="BasicParagraph"/>
        <w:ind w:left="720"/>
        <w:rPr>
          <w:b/>
          <w:i/>
        </w:rPr>
      </w:pPr>
      <w:r w:rsidRPr="00A976BF">
        <w:rPr>
          <w:b/>
          <w:i/>
        </w:rPr>
        <w:t>4.4: Plan, design, and create complete neighborhoods whose physical layout and land use mix promote access to community resources (including services, food, retail, employment, education, childcare, recreation, and other destinations) by a variety of transportation means.</w:t>
      </w:r>
    </w:p>
    <w:p w14:paraId="21A8C04E" w14:textId="77777777" w:rsidR="00D37048" w:rsidRPr="00B32486" w:rsidRDefault="00D37048" w:rsidP="00D37048">
      <w:pPr>
        <w:ind w:left="720"/>
        <w:rPr>
          <w:rFonts w:ascii="Calibri" w:hAnsi="Calibri"/>
          <w:b/>
          <w:i/>
          <w:sz w:val="22"/>
          <w:szCs w:val="22"/>
        </w:rPr>
      </w:pPr>
    </w:p>
    <w:p w14:paraId="61E62981" w14:textId="77777777" w:rsidR="00677537" w:rsidRDefault="00677537" w:rsidP="0052296C">
      <w:pPr>
        <w:pStyle w:val="BasicParagraph"/>
        <w:ind w:left="1440"/>
        <w:rPr>
          <w:b/>
        </w:rPr>
      </w:pPr>
    </w:p>
    <w:p w14:paraId="55D32A68" w14:textId="77777777" w:rsidR="00184A59" w:rsidRDefault="00D37048" w:rsidP="00A976BF">
      <w:pPr>
        <w:pStyle w:val="BasicParagraph"/>
        <w:ind w:left="1440"/>
      </w:pPr>
      <w:proofErr w:type="gramStart"/>
      <w:r>
        <w:rPr>
          <w:b/>
        </w:rPr>
        <w:lastRenderedPageBreak/>
        <w:t>4</w:t>
      </w:r>
      <w:r w:rsidRPr="00B32486">
        <w:rPr>
          <w:b/>
        </w:rPr>
        <w:t>.4.</w:t>
      </w:r>
      <w:r>
        <w:rPr>
          <w:b/>
        </w:rPr>
        <w:t>1</w:t>
      </w:r>
      <w:r w:rsidRPr="00B32486">
        <w:t xml:space="preserve"> Promote infill development</w:t>
      </w:r>
      <w:r>
        <w:t>,</w:t>
      </w:r>
      <w:r w:rsidRPr="00B32486">
        <w:t xml:space="preserve"> redevelopment, and new construction in a compact form in developed locations whenever feasible.</w:t>
      </w:r>
      <w:proofErr w:type="gramEnd"/>
    </w:p>
    <w:p w14:paraId="210EAAE1" w14:textId="77777777" w:rsidR="00184A59" w:rsidRDefault="00184A59" w:rsidP="00A976BF">
      <w:pPr>
        <w:pStyle w:val="BasicParagraph"/>
        <w:ind w:left="1440"/>
        <w:rPr>
          <w:b/>
        </w:rPr>
      </w:pPr>
    </w:p>
    <w:p w14:paraId="4ABE3E13" w14:textId="77777777" w:rsidR="00184A59" w:rsidRDefault="00D37048" w:rsidP="00A976BF">
      <w:pPr>
        <w:pStyle w:val="BasicParagraph"/>
        <w:ind w:left="1440"/>
      </w:pPr>
      <w:r>
        <w:rPr>
          <w:b/>
        </w:rPr>
        <w:t>4</w:t>
      </w:r>
      <w:r w:rsidRPr="00B32486">
        <w:rPr>
          <w:b/>
        </w:rPr>
        <w:t>.4.</w:t>
      </w:r>
      <w:r>
        <w:rPr>
          <w:b/>
        </w:rPr>
        <w:t>2</w:t>
      </w:r>
      <w:r w:rsidRPr="00B32486">
        <w:t xml:space="preserve"> Encourage mixed-use development to allow siting of residential, retail, office, recreational, and educational facilities within close proximity to each other.</w:t>
      </w:r>
    </w:p>
    <w:p w14:paraId="7F602B8D" w14:textId="77777777" w:rsidR="00184A59" w:rsidRDefault="00184A59" w:rsidP="00A976BF">
      <w:pPr>
        <w:pStyle w:val="BasicParagraph"/>
        <w:ind w:left="1440"/>
      </w:pPr>
    </w:p>
    <w:p w14:paraId="2773B975" w14:textId="77777777" w:rsidR="00184A59" w:rsidRDefault="00D37048" w:rsidP="00A976BF">
      <w:pPr>
        <w:pStyle w:val="BasicParagraph"/>
        <w:ind w:left="1440"/>
      </w:pPr>
      <w:r>
        <w:rPr>
          <w:b/>
        </w:rPr>
        <w:t>4</w:t>
      </w:r>
      <w:r w:rsidRPr="00B32486">
        <w:rPr>
          <w:b/>
        </w:rPr>
        <w:t>.4.3</w:t>
      </w:r>
      <w:r w:rsidRPr="00B32486">
        <w:t xml:space="preserve"> Encourage transit-oriented development by developing public transportation in downtown areas and encouraging infill development near public transportation facilities.</w:t>
      </w:r>
    </w:p>
    <w:p w14:paraId="1D9E9373" w14:textId="77777777" w:rsidR="00184A59" w:rsidRDefault="00184A59" w:rsidP="00A976BF">
      <w:pPr>
        <w:pStyle w:val="BasicParagraph"/>
        <w:ind w:left="1440"/>
      </w:pPr>
    </w:p>
    <w:p w14:paraId="678B635D" w14:textId="77777777" w:rsidR="00184A59" w:rsidRDefault="00D37048" w:rsidP="00A976BF">
      <w:pPr>
        <w:pStyle w:val="BasicParagraph"/>
        <w:ind w:left="1440"/>
      </w:pPr>
      <w:r>
        <w:rPr>
          <w:b/>
        </w:rPr>
        <w:t>4</w:t>
      </w:r>
      <w:r w:rsidRPr="00B32486">
        <w:rPr>
          <w:b/>
        </w:rPr>
        <w:t>.4.</w:t>
      </w:r>
      <w:r>
        <w:rPr>
          <w:b/>
        </w:rPr>
        <w:t>4</w:t>
      </w:r>
      <w:r w:rsidRPr="00B32486">
        <w:t xml:space="preserve"> Maximize the proportion of residences within a quarter-mile of community resources</w:t>
      </w:r>
      <w:r>
        <w:t>,</w:t>
      </w:r>
      <w:r w:rsidRPr="00B32486">
        <w:t xml:space="preserve"> </w:t>
      </w:r>
      <w:r>
        <w:t>such as</w:t>
      </w:r>
      <w:r w:rsidRPr="00B32486">
        <w:t xml:space="preserve"> parks, schools, grocers, retailers, service providers, employment, and public transportation.</w:t>
      </w:r>
    </w:p>
    <w:p w14:paraId="696FD6A7" w14:textId="77777777" w:rsidR="00184A59" w:rsidRDefault="00184A59" w:rsidP="00A976BF">
      <w:pPr>
        <w:pStyle w:val="BasicParagraph"/>
        <w:ind w:left="1440"/>
      </w:pPr>
    </w:p>
    <w:p w14:paraId="028AA5C7" w14:textId="77777777" w:rsidR="00184A59" w:rsidRDefault="00D37048" w:rsidP="00A976BF">
      <w:pPr>
        <w:pStyle w:val="BasicParagraph"/>
        <w:ind w:left="1440"/>
      </w:pPr>
      <w:r>
        <w:rPr>
          <w:b/>
        </w:rPr>
        <w:t>4.4</w:t>
      </w:r>
      <w:r w:rsidRPr="008A676F">
        <w:rPr>
          <w:b/>
        </w:rPr>
        <w:t>.</w:t>
      </w:r>
      <w:r>
        <w:rPr>
          <w:b/>
        </w:rPr>
        <w:t>5</w:t>
      </w:r>
      <w:r>
        <w:t xml:space="preserve"> Work with developers to b</w:t>
      </w:r>
      <w:r w:rsidRPr="008A676F">
        <w:t>alance commercial and residential development (jobs and housing) within</w:t>
      </w:r>
      <w:r>
        <w:t xml:space="preserve"> </w:t>
      </w:r>
      <w:r w:rsidRPr="008A676F">
        <w:t>[</w:t>
      </w:r>
      <w:r w:rsidRPr="00A259AD">
        <w:rPr>
          <w:i/>
          <w:u w:val="single"/>
        </w:rPr>
        <w:t>jurisdiction</w:t>
      </w:r>
      <w:r w:rsidRPr="008A676F">
        <w:t>] to reduce th</w:t>
      </w:r>
      <w:r>
        <w:t>e number of people who must commute a long distance to work.</w:t>
      </w:r>
    </w:p>
    <w:p w14:paraId="1C06865B" w14:textId="77777777" w:rsidR="00184A59" w:rsidRDefault="00184A59" w:rsidP="00A976BF">
      <w:pPr>
        <w:pStyle w:val="BasicParagraph"/>
        <w:ind w:left="1440"/>
        <w:rPr>
          <w:b/>
        </w:rPr>
      </w:pPr>
    </w:p>
    <w:p w14:paraId="415D1A57" w14:textId="77777777" w:rsidR="00184A59" w:rsidRDefault="00D37048" w:rsidP="00A976BF">
      <w:pPr>
        <w:pStyle w:val="BasicParagraph"/>
        <w:ind w:left="1440"/>
      </w:pPr>
      <w:r>
        <w:rPr>
          <w:b/>
        </w:rPr>
        <w:t xml:space="preserve">4.4.6 </w:t>
      </w:r>
      <w:r w:rsidRPr="00DE0E2F">
        <w:t>Work with private employers to provide live-near-your-work or employer-assisted housing financial incentives.</w:t>
      </w:r>
    </w:p>
    <w:p w14:paraId="2BC85ED0" w14:textId="77777777" w:rsidR="00D37048" w:rsidRDefault="00D37048" w:rsidP="00D37048">
      <w:pPr>
        <w:ind w:left="1440"/>
        <w:rPr>
          <w:rFonts w:ascii="Calibri" w:hAnsi="Calibri"/>
          <w:sz w:val="22"/>
          <w:szCs w:val="22"/>
        </w:rPr>
      </w:pPr>
    </w:p>
    <w:p w14:paraId="40EA17EC" w14:textId="77777777" w:rsidR="00184A59" w:rsidRDefault="00B4032C" w:rsidP="00A976BF">
      <w:pPr>
        <w:spacing w:line="240" w:lineRule="auto"/>
      </w:pPr>
      <w:r>
        <w:br w:type="page"/>
      </w:r>
    </w:p>
    <w:p w14:paraId="6FA481B6" w14:textId="77777777" w:rsidR="00171F38" w:rsidRDefault="00171F38" w:rsidP="00171F38">
      <w:pPr>
        <w:pStyle w:val="disclamerbox"/>
        <w:framePr w:hSpace="0" w:vSpace="0" w:wrap="auto" w:vAnchor="margin" w:hAnchor="text" w:yAlign="inline"/>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proofErr w:type="spellStart"/>
      <w:r w:rsidRPr="00526524">
        <w:rPr>
          <w:kern w:val="28"/>
        </w:rPr>
        <w:lastRenderedPageBreak/>
        <w:t>ChangeLab</w:t>
      </w:r>
      <w:proofErr w:type="spellEnd"/>
      <w:r w:rsidRPr="00526524">
        <w:rPr>
          <w:kern w:val="28"/>
        </w:rPr>
        <w:t xml:space="preserve"> Solutions is a nonprofit organization that provides legal information on matters relating to public health. The legal information provided in this document does not constitute legal advice or legal representation. For legal advice, readers should consult a lawyer </w:t>
      </w:r>
      <w:r w:rsidR="005569FD">
        <w:rPr>
          <w:kern w:val="28"/>
        </w:rPr>
        <w:t>in their state</w:t>
      </w:r>
      <w:r w:rsidRPr="00526524">
        <w:rPr>
          <w:kern w:val="28"/>
        </w:rPr>
        <w:t>.</w:t>
      </w:r>
    </w:p>
    <w:p w14:paraId="1511202D" w14:textId="77777777" w:rsidR="00171F38" w:rsidRDefault="00171F38" w:rsidP="00171F38">
      <w:pPr>
        <w:pStyle w:val="disclamerbox"/>
        <w:framePr w:hSpace="0" w:vSpace="0" w:wrap="auto" w:vAnchor="margin" w:hAnchor="text" w:yAlign="inline"/>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Pr>
          <w:kern w:val="28"/>
        </w:rPr>
        <w:t>February 2015</w:t>
      </w:r>
    </w:p>
    <w:p w14:paraId="4D0C17F8" w14:textId="77777777" w:rsidR="00171F38" w:rsidRDefault="00171F38" w:rsidP="00171F38">
      <w:pPr>
        <w:pStyle w:val="disclamerbox"/>
        <w:framePr w:hSpace="0" w:vSpace="0" w:wrap="auto" w:vAnchor="margin" w:hAnchor="text" w:yAlign="inline"/>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sidRPr="00B04AE0">
        <w:rPr>
          <w:kern w:val="28"/>
        </w:rPr>
        <w:t xml:space="preserve">Support for this document was provided by a grant from </w:t>
      </w:r>
      <w:r w:rsidR="00A976BF">
        <w:rPr>
          <w:kern w:val="28"/>
        </w:rPr>
        <w:t>The</w:t>
      </w:r>
      <w:r w:rsidRPr="00B04AE0">
        <w:rPr>
          <w:kern w:val="28"/>
        </w:rPr>
        <w:t xml:space="preserve"> </w:t>
      </w:r>
      <w:proofErr w:type="spellStart"/>
      <w:r w:rsidRPr="00B04AE0">
        <w:rPr>
          <w:kern w:val="28"/>
        </w:rPr>
        <w:t>Kresge</w:t>
      </w:r>
      <w:proofErr w:type="spellEnd"/>
      <w:r w:rsidRPr="00B04AE0">
        <w:rPr>
          <w:kern w:val="28"/>
        </w:rPr>
        <w:t xml:space="preserve"> Foundation. </w:t>
      </w:r>
    </w:p>
    <w:p w14:paraId="640052B8" w14:textId="77777777" w:rsidR="00171F38" w:rsidRPr="00D53B20" w:rsidRDefault="00171F38" w:rsidP="00171F38">
      <w:pPr>
        <w:pStyle w:val="disclamerbox"/>
        <w:framePr w:hSpace="0" w:vSpace="0" w:wrap="auto" w:vAnchor="margin" w:hAnchor="text" w:yAlign="inline"/>
        <w:pBdr>
          <w:top w:val="single" w:sz="2" w:space="6" w:color="D9D9D9"/>
          <w:left w:val="single" w:sz="2" w:space="6" w:color="D9D9D9"/>
          <w:bottom w:val="single" w:sz="2" w:space="6" w:color="D9D9D9"/>
          <w:right w:val="single" w:sz="2" w:space="6" w:color="D9D9D9"/>
        </w:pBdr>
        <w:tabs>
          <w:tab w:val="left" w:pos="1530"/>
          <w:tab w:val="left" w:pos="2340"/>
        </w:tabs>
        <w:ind w:left="0"/>
        <w:rPr>
          <w:kern w:val="28"/>
        </w:rPr>
      </w:pPr>
      <w:r w:rsidRPr="00007040">
        <w:rPr>
          <w:kern w:val="28"/>
        </w:rPr>
        <w:t>© 201</w:t>
      </w:r>
      <w:r>
        <w:rPr>
          <w:kern w:val="28"/>
        </w:rPr>
        <w:t>5</w:t>
      </w:r>
      <w:r w:rsidRPr="00007040">
        <w:rPr>
          <w:kern w:val="28"/>
        </w:rPr>
        <w:t xml:space="preserve"> </w:t>
      </w:r>
      <w:proofErr w:type="spellStart"/>
      <w:r w:rsidRPr="00007040">
        <w:rPr>
          <w:kern w:val="28"/>
        </w:rPr>
        <w:t>ChangeLab</w:t>
      </w:r>
      <w:proofErr w:type="spellEnd"/>
      <w:r w:rsidRPr="00007040">
        <w:rPr>
          <w:kern w:val="28"/>
        </w:rPr>
        <w:t xml:space="preserve"> Solutions</w:t>
      </w:r>
    </w:p>
    <w:p w14:paraId="7B723D93" w14:textId="77777777" w:rsidR="00171F38" w:rsidRDefault="00714E99">
      <w:pPr>
        <w:pStyle w:val="BasicParagraph"/>
        <w:rPr>
          <w:b/>
          <w:color w:val="02598B"/>
          <w:sz w:val="28"/>
        </w:rPr>
      </w:pPr>
      <w:r>
        <w:rPr>
          <w:b/>
          <w:color w:val="02598B"/>
          <w:sz w:val="28"/>
        </w:rPr>
        <w:t xml:space="preserve"> </w:t>
      </w:r>
    </w:p>
    <w:p w14:paraId="68B11D59" w14:textId="77777777" w:rsidR="00C023F7" w:rsidRDefault="00C023F7">
      <w:pPr>
        <w:pStyle w:val="BasicParagraph"/>
        <w:rPr>
          <w:b/>
          <w:color w:val="02598B"/>
          <w:sz w:val="28"/>
        </w:rPr>
      </w:pPr>
    </w:p>
    <w:p w14:paraId="6DBFBD5D" w14:textId="77777777" w:rsidR="00184A59" w:rsidRPr="00A976BF" w:rsidRDefault="00BF67A0" w:rsidP="00A976BF">
      <w:pPr>
        <w:pStyle w:val="BasicParagraph"/>
        <w:rPr>
          <w:b/>
          <w:color w:val="02598B"/>
          <w:sz w:val="28"/>
        </w:rPr>
      </w:pPr>
      <w:r w:rsidRPr="00A976BF">
        <w:rPr>
          <w:b/>
          <w:color w:val="02598B"/>
          <w:sz w:val="28"/>
        </w:rPr>
        <w:t>References</w:t>
      </w:r>
    </w:p>
    <w:p w14:paraId="6FD09769" w14:textId="77777777" w:rsidR="00D37048" w:rsidRPr="00B32486" w:rsidRDefault="00D37048" w:rsidP="00D37048">
      <w:pPr>
        <w:rPr>
          <w:rFonts w:ascii="Calibri" w:hAnsi="Calibri"/>
          <w:b/>
          <w:sz w:val="22"/>
          <w:szCs w:val="22"/>
        </w:rPr>
      </w:pPr>
    </w:p>
    <w:p w14:paraId="304D9673" w14:textId="77777777" w:rsidR="00184A59" w:rsidRPr="00A976BF" w:rsidRDefault="00BF67A0" w:rsidP="00A976BF">
      <w:pPr>
        <w:pStyle w:val="EndnoteText"/>
        <w:tabs>
          <w:tab w:val="left" w:pos="270"/>
        </w:tabs>
        <w:spacing w:after="60"/>
        <w:ind w:left="270" w:hanging="270"/>
        <w:rPr>
          <w:noProof/>
          <w:sz w:val="18"/>
        </w:rPr>
      </w:pPr>
      <w:r w:rsidRPr="00A976BF">
        <w:rPr>
          <w:rFonts w:eastAsiaTheme="minorEastAsia"/>
          <w:b/>
          <w:sz w:val="18"/>
          <w:szCs w:val="22"/>
          <w:highlight w:val="yellow"/>
        </w:rPr>
        <w:fldChar w:fldCharType="begin" w:fldLock="1"/>
      </w:r>
      <w:r w:rsidRPr="00A976BF">
        <w:rPr>
          <w:b/>
          <w:sz w:val="18"/>
          <w:szCs w:val="22"/>
          <w:highlight w:val="yellow"/>
        </w:rPr>
        <w:instrText xml:space="preserve">ADDIN Mendeley Bibliography CSL_BIBLIOGRAPHY </w:instrText>
      </w:r>
      <w:r w:rsidRPr="00A976BF">
        <w:rPr>
          <w:rFonts w:eastAsiaTheme="minorEastAsia"/>
          <w:b/>
          <w:sz w:val="18"/>
          <w:szCs w:val="22"/>
          <w:highlight w:val="yellow"/>
        </w:rPr>
        <w:fldChar w:fldCharType="separate"/>
      </w:r>
      <w:r w:rsidRPr="00A976BF">
        <w:rPr>
          <w:noProof/>
          <w:sz w:val="18"/>
        </w:rPr>
        <w:t xml:space="preserve">1. </w:t>
      </w:r>
      <w:r w:rsidRPr="00A976BF">
        <w:rPr>
          <w:noProof/>
          <w:sz w:val="18"/>
        </w:rPr>
        <w:tab/>
        <w:t xml:space="preserve">McGovern L, Miller G, Hughes-Cromwick P. </w:t>
      </w:r>
      <w:r w:rsidRPr="00A976BF">
        <w:rPr>
          <w:i/>
          <w:iCs/>
          <w:noProof/>
          <w:sz w:val="18"/>
        </w:rPr>
        <w:t>Health Policy Brief: The Relative Contribution of Multiple Determinants to Health Outcomes</w:t>
      </w:r>
      <w:r w:rsidRPr="00A976BF">
        <w:rPr>
          <w:noProof/>
          <w:sz w:val="18"/>
        </w:rPr>
        <w:t>. 2014.</w:t>
      </w:r>
    </w:p>
    <w:p w14:paraId="2B9184A2" w14:textId="77777777" w:rsidR="00184A59" w:rsidRPr="00A976BF" w:rsidRDefault="00BF67A0" w:rsidP="00A976BF">
      <w:pPr>
        <w:pStyle w:val="EndnoteText"/>
        <w:tabs>
          <w:tab w:val="left" w:pos="270"/>
        </w:tabs>
        <w:spacing w:after="60"/>
        <w:ind w:left="270" w:hanging="270"/>
        <w:rPr>
          <w:i/>
          <w:noProof/>
          <w:color w:val="00598D"/>
          <w:sz w:val="18"/>
        </w:rPr>
      </w:pPr>
      <w:r w:rsidRPr="00A976BF">
        <w:rPr>
          <w:noProof/>
          <w:sz w:val="18"/>
        </w:rPr>
        <w:t xml:space="preserve">2. </w:t>
      </w:r>
      <w:r w:rsidRPr="00A976BF">
        <w:rPr>
          <w:noProof/>
          <w:sz w:val="18"/>
        </w:rPr>
        <w:tab/>
        <w:t xml:space="preserve">Krieger J, Higgins DL. Housing and health: time again for public health action. </w:t>
      </w:r>
      <w:r w:rsidRPr="00A976BF">
        <w:rPr>
          <w:i/>
          <w:iCs/>
          <w:noProof/>
          <w:sz w:val="18"/>
        </w:rPr>
        <w:t>Am J Public Health</w:t>
      </w:r>
      <w:r w:rsidRPr="00A976BF">
        <w:rPr>
          <w:noProof/>
          <w:sz w:val="18"/>
        </w:rPr>
        <w:t xml:space="preserve">. 2002;92(5):758-768. </w:t>
      </w:r>
      <w:r w:rsidRPr="00A976BF">
        <w:rPr>
          <w:i/>
          <w:noProof/>
          <w:color w:val="00598D"/>
          <w:sz w:val="18"/>
        </w:rPr>
        <w:t>www.pubmedcentral.nih.gov/articlerender.fcgi?artid=1447157&amp;tool=pmcentrez&amp;rendertype=abstract.</w:t>
      </w:r>
    </w:p>
    <w:p w14:paraId="0899FFF0"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3. </w:t>
      </w:r>
      <w:r w:rsidRPr="00A976BF">
        <w:rPr>
          <w:noProof/>
          <w:sz w:val="18"/>
        </w:rPr>
        <w:tab/>
        <w:t xml:space="preserve">Burgard S a, Seefeldt KS, Zelner S. Housing instability and health: findings from the Michigan Recession and Recovery Study. </w:t>
      </w:r>
      <w:r w:rsidRPr="00A976BF">
        <w:rPr>
          <w:i/>
          <w:iCs/>
          <w:noProof/>
          <w:sz w:val="18"/>
        </w:rPr>
        <w:t>Soc Sci Med</w:t>
      </w:r>
      <w:r w:rsidRPr="00A976BF">
        <w:rPr>
          <w:noProof/>
          <w:sz w:val="18"/>
        </w:rPr>
        <w:t>. 2012;75(12):2215-2224. doi:10.1016/j.socscimed.2012.08.020.</w:t>
      </w:r>
    </w:p>
    <w:p w14:paraId="16FC5FCC"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4. </w:t>
      </w:r>
      <w:r w:rsidRPr="00A976BF">
        <w:rPr>
          <w:noProof/>
          <w:sz w:val="18"/>
        </w:rPr>
        <w:tab/>
        <w:t xml:space="preserve">Kushel MB, Gupta R, Gee L, Haas JS. Housing instability and food insecurity as barriers to health care among low-income Americans. </w:t>
      </w:r>
      <w:r w:rsidRPr="00A976BF">
        <w:rPr>
          <w:i/>
          <w:iCs/>
          <w:noProof/>
          <w:sz w:val="18"/>
        </w:rPr>
        <w:t>J Gen Intern Med</w:t>
      </w:r>
      <w:r w:rsidRPr="00A976BF">
        <w:rPr>
          <w:noProof/>
          <w:sz w:val="18"/>
        </w:rPr>
        <w:t>. 2006;21(1):71-77. doi:10.1111/j.1525-1497.2005.00278.x.</w:t>
      </w:r>
    </w:p>
    <w:p w14:paraId="6AF3E521"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5. </w:t>
      </w:r>
      <w:r w:rsidRPr="00A976BF">
        <w:rPr>
          <w:noProof/>
          <w:sz w:val="18"/>
        </w:rPr>
        <w:tab/>
        <w:t xml:space="preserve">Newman SJ, Holupka CS. Housing affordability and investments in children. </w:t>
      </w:r>
      <w:r w:rsidRPr="00A976BF">
        <w:rPr>
          <w:i/>
          <w:iCs/>
          <w:noProof/>
          <w:sz w:val="18"/>
        </w:rPr>
        <w:t>J Hous Econ</w:t>
      </w:r>
      <w:r w:rsidRPr="00A976BF">
        <w:rPr>
          <w:noProof/>
          <w:sz w:val="18"/>
        </w:rPr>
        <w:t>. 2014;24:89-100. doi:10.1016/j.jhe.2013.11.006.</w:t>
      </w:r>
    </w:p>
    <w:p w14:paraId="29AA22E4" w14:textId="77777777" w:rsidR="00184A59" w:rsidRPr="00A976BF" w:rsidRDefault="00BF67A0" w:rsidP="00A976BF">
      <w:pPr>
        <w:pStyle w:val="EndnoteText"/>
        <w:tabs>
          <w:tab w:val="left" w:pos="270"/>
        </w:tabs>
        <w:spacing w:after="60"/>
        <w:ind w:left="270" w:hanging="270"/>
        <w:rPr>
          <w:i/>
          <w:noProof/>
          <w:color w:val="00598D"/>
          <w:sz w:val="18"/>
        </w:rPr>
      </w:pPr>
      <w:r w:rsidRPr="00A976BF">
        <w:rPr>
          <w:noProof/>
          <w:sz w:val="18"/>
        </w:rPr>
        <w:t xml:space="preserve">6. </w:t>
      </w:r>
      <w:r w:rsidRPr="00A976BF">
        <w:rPr>
          <w:noProof/>
          <w:sz w:val="18"/>
        </w:rPr>
        <w:tab/>
        <w:t xml:space="preserve">The Joint Center for Housing Studies. </w:t>
      </w:r>
      <w:r w:rsidRPr="00A976BF">
        <w:rPr>
          <w:i/>
          <w:iCs/>
          <w:noProof/>
          <w:sz w:val="18"/>
        </w:rPr>
        <w:t>The State of the Nation’s Housing</w:t>
      </w:r>
      <w:r w:rsidRPr="00A976BF">
        <w:rPr>
          <w:noProof/>
          <w:sz w:val="18"/>
        </w:rPr>
        <w:t xml:space="preserve">. Boston, MA; 2014. </w:t>
      </w:r>
      <w:r w:rsidRPr="00A976BF">
        <w:rPr>
          <w:i/>
          <w:noProof/>
          <w:color w:val="00598D"/>
          <w:sz w:val="18"/>
        </w:rPr>
        <w:t>www.jchs.harvard.edu/sites/jchs.harvard.edu/files/sonhr14_txt_bw-full.pdf.</w:t>
      </w:r>
    </w:p>
    <w:p w14:paraId="7F096110" w14:textId="77777777" w:rsidR="00184A59" w:rsidRPr="00A976BF" w:rsidRDefault="00BF67A0" w:rsidP="00A976BF">
      <w:pPr>
        <w:pStyle w:val="EndnoteText"/>
        <w:tabs>
          <w:tab w:val="left" w:pos="270"/>
        </w:tabs>
        <w:spacing w:after="60"/>
        <w:ind w:left="270" w:hanging="270"/>
        <w:rPr>
          <w:i/>
          <w:noProof/>
          <w:color w:val="00598D"/>
          <w:sz w:val="18"/>
        </w:rPr>
      </w:pPr>
      <w:r w:rsidRPr="00A976BF">
        <w:rPr>
          <w:noProof/>
          <w:sz w:val="18"/>
        </w:rPr>
        <w:t xml:space="preserve">7. </w:t>
      </w:r>
      <w:r w:rsidRPr="00A976BF">
        <w:rPr>
          <w:noProof/>
          <w:sz w:val="18"/>
        </w:rPr>
        <w:tab/>
        <w:t xml:space="preserve">Federal Healthy Homes Work Group. </w:t>
      </w:r>
      <w:r w:rsidRPr="00A976BF">
        <w:rPr>
          <w:i/>
          <w:iCs/>
          <w:noProof/>
          <w:sz w:val="18"/>
        </w:rPr>
        <w:t>Advancing Healthy Housing: A Strategy for Action</w:t>
      </w:r>
      <w:r w:rsidRPr="00A976BF">
        <w:rPr>
          <w:noProof/>
          <w:sz w:val="18"/>
        </w:rPr>
        <w:t xml:space="preserve">.; 2013. </w:t>
      </w:r>
      <w:r w:rsidRPr="00A976BF">
        <w:rPr>
          <w:i/>
          <w:noProof/>
          <w:color w:val="00598D"/>
          <w:sz w:val="18"/>
        </w:rPr>
        <w:t>http://portal.hud.gov/hudportal/documents/huddoc?id=stratplan_final_11_13.pdf.</w:t>
      </w:r>
    </w:p>
    <w:p w14:paraId="25DD93A8"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8. </w:t>
      </w:r>
      <w:r w:rsidRPr="00A976BF">
        <w:rPr>
          <w:noProof/>
          <w:sz w:val="18"/>
        </w:rPr>
        <w:tab/>
        <w:t xml:space="preserve">Marshall SW, Runyan CW, Yang J, et al. Prevalence of selected risk and protective factors for falls in the home. </w:t>
      </w:r>
      <w:r w:rsidRPr="00A976BF">
        <w:rPr>
          <w:i/>
          <w:iCs/>
          <w:noProof/>
          <w:sz w:val="18"/>
        </w:rPr>
        <w:t>Am J Prev Med</w:t>
      </w:r>
      <w:r w:rsidRPr="00A976BF">
        <w:rPr>
          <w:noProof/>
          <w:sz w:val="18"/>
        </w:rPr>
        <w:t>. 2005;28(1):95-101. doi:10.1016/j.amepre.2004.09.015.</w:t>
      </w:r>
    </w:p>
    <w:p w14:paraId="40765CC9"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9. </w:t>
      </w:r>
      <w:r w:rsidRPr="00A976BF">
        <w:rPr>
          <w:noProof/>
          <w:sz w:val="18"/>
        </w:rPr>
        <w:tab/>
        <w:t xml:space="preserve">Phillips D, Clark R, Lee T, Desautels A. </w:t>
      </w:r>
      <w:r w:rsidRPr="00A976BF">
        <w:rPr>
          <w:i/>
          <w:iCs/>
          <w:noProof/>
          <w:sz w:val="18"/>
        </w:rPr>
        <w:t>Restoring Health: A Report on the Impact of Foreclosure on Public Health</w:t>
      </w:r>
      <w:r w:rsidRPr="00A976BF">
        <w:rPr>
          <w:noProof/>
          <w:sz w:val="18"/>
        </w:rPr>
        <w:t xml:space="preserve">. 2014. </w:t>
      </w:r>
      <w:r w:rsidRPr="00A976BF">
        <w:rPr>
          <w:i/>
          <w:noProof/>
          <w:color w:val="00598D"/>
          <w:sz w:val="18"/>
        </w:rPr>
        <w:t>www.acphd.org/media/53643/foreclose2.pdf.</w:t>
      </w:r>
    </w:p>
    <w:p w14:paraId="17D2732C"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10. Kershaw KN, Albrecht SS, Carnethon MR. Racial and ethnic residential segregation, the neighborhood socioeconomic environment, and obesity among Blacks and Mexican Americans. </w:t>
      </w:r>
      <w:r w:rsidRPr="00A976BF">
        <w:rPr>
          <w:i/>
          <w:iCs/>
          <w:noProof/>
          <w:sz w:val="18"/>
        </w:rPr>
        <w:t>Am J Epidemiol</w:t>
      </w:r>
      <w:r w:rsidRPr="00A976BF">
        <w:rPr>
          <w:noProof/>
          <w:sz w:val="18"/>
        </w:rPr>
        <w:t>. 2013;177(4):299-309. doi:10.1093/aje/kws372.</w:t>
      </w:r>
    </w:p>
    <w:p w14:paraId="7F9924E4"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11. Lachman ME, Weaver SL. The sense of control as a moderator of social class differences in health and well-being. </w:t>
      </w:r>
      <w:r w:rsidRPr="00A976BF">
        <w:rPr>
          <w:i/>
          <w:iCs/>
          <w:noProof/>
          <w:sz w:val="18"/>
        </w:rPr>
        <w:t>J Pers Soc Psychol</w:t>
      </w:r>
      <w:r w:rsidRPr="00A976BF">
        <w:rPr>
          <w:noProof/>
          <w:sz w:val="18"/>
        </w:rPr>
        <w:t>. 1998;74(3):763-773.</w:t>
      </w:r>
    </w:p>
    <w:p w14:paraId="31292ABA"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 xml:space="preserve">12. City of Santa Clara. </w:t>
      </w:r>
      <w:r w:rsidRPr="00A976BF">
        <w:rPr>
          <w:i/>
          <w:iCs/>
          <w:noProof/>
          <w:sz w:val="18"/>
        </w:rPr>
        <w:t>City of Santa Clara Draft Housing Element</w:t>
      </w:r>
      <w:r w:rsidRPr="00A976BF">
        <w:rPr>
          <w:noProof/>
          <w:sz w:val="18"/>
        </w:rPr>
        <w:t>. 2014.</w:t>
      </w:r>
    </w:p>
    <w:p w14:paraId="1358EAA1" w14:textId="77777777" w:rsidR="00184A59" w:rsidRPr="00A976BF" w:rsidRDefault="00BF67A0" w:rsidP="00A976BF">
      <w:pPr>
        <w:pStyle w:val="EndnoteText"/>
        <w:tabs>
          <w:tab w:val="left" w:pos="270"/>
        </w:tabs>
        <w:spacing w:after="60"/>
        <w:ind w:left="270" w:hanging="270"/>
        <w:rPr>
          <w:noProof/>
          <w:sz w:val="18"/>
        </w:rPr>
      </w:pPr>
      <w:r w:rsidRPr="00A976BF">
        <w:rPr>
          <w:noProof/>
          <w:sz w:val="18"/>
        </w:rPr>
        <w:t>1</w:t>
      </w:r>
      <w:r w:rsidRPr="00A976BF">
        <w:rPr>
          <w:noProof/>
          <w:spacing w:val="-2"/>
          <w:sz w:val="18"/>
        </w:rPr>
        <w:t xml:space="preserve">3. AICP Code of Ethics and Professional Conduct. </w:t>
      </w:r>
      <w:r w:rsidRPr="00A976BF">
        <w:rPr>
          <w:i/>
          <w:noProof/>
          <w:color w:val="00598D"/>
          <w:spacing w:val="-2"/>
          <w:sz w:val="18"/>
        </w:rPr>
        <w:t xml:space="preserve">www.planning.org/ethics/ethicscode.htm. </w:t>
      </w:r>
      <w:r w:rsidRPr="00A976BF">
        <w:rPr>
          <w:noProof/>
          <w:spacing w:val="-2"/>
          <w:sz w:val="18"/>
        </w:rPr>
        <w:t xml:space="preserve">Accessed December 6, 2014. </w:t>
      </w:r>
    </w:p>
    <w:p w14:paraId="552DD9C9" w14:textId="77777777" w:rsidR="00184A59" w:rsidRDefault="00BF67A0" w:rsidP="00A976BF">
      <w:pPr>
        <w:pStyle w:val="EndnoteText"/>
        <w:tabs>
          <w:tab w:val="left" w:pos="270"/>
        </w:tabs>
        <w:spacing w:after="60"/>
        <w:ind w:left="270" w:hanging="270"/>
        <w:rPr>
          <w:b/>
          <w:szCs w:val="22"/>
        </w:rPr>
      </w:pPr>
      <w:r w:rsidRPr="00A976BF">
        <w:rPr>
          <w:b/>
          <w:sz w:val="18"/>
          <w:szCs w:val="22"/>
          <w:highlight w:val="yellow"/>
        </w:rPr>
        <w:fldChar w:fldCharType="end"/>
      </w:r>
    </w:p>
    <w:p w14:paraId="5B08CFCE" w14:textId="77777777" w:rsidR="00714E99" w:rsidRDefault="00714E99" w:rsidP="00E51E01">
      <w:pPr>
        <w:pStyle w:val="BasicParagraph"/>
        <w:rPr>
          <w:sz w:val="18"/>
        </w:rPr>
      </w:pPr>
    </w:p>
    <w:p w14:paraId="7C18FF3A" w14:textId="77777777" w:rsidR="00570CB4" w:rsidRDefault="00570CB4" w:rsidP="00E51E01">
      <w:pPr>
        <w:pStyle w:val="BasicParagraph"/>
        <w:rPr>
          <w:sz w:val="18"/>
        </w:rPr>
      </w:pPr>
    </w:p>
    <w:p w14:paraId="66045BC3" w14:textId="77777777" w:rsidR="00570CB4" w:rsidRDefault="00570CB4" w:rsidP="00E51E01">
      <w:pPr>
        <w:pStyle w:val="BasicParagraph"/>
        <w:rPr>
          <w:sz w:val="18"/>
        </w:rPr>
      </w:pPr>
    </w:p>
    <w:p w14:paraId="5041463E" w14:textId="77777777" w:rsidR="00714E99" w:rsidRDefault="00714E99" w:rsidP="00E51E01">
      <w:pPr>
        <w:pStyle w:val="BasicParagraph"/>
        <w:rPr>
          <w:sz w:val="18"/>
        </w:rPr>
      </w:pPr>
    </w:p>
    <w:p w14:paraId="7330A2C5" w14:textId="77777777" w:rsidR="00D37048" w:rsidRPr="00A976BF" w:rsidRDefault="00714E99" w:rsidP="00E51E01">
      <w:pPr>
        <w:pStyle w:val="BasicParagraph"/>
        <w:rPr>
          <w:sz w:val="16"/>
        </w:rPr>
      </w:pPr>
      <w:r w:rsidRPr="00A976BF">
        <w:rPr>
          <w:sz w:val="16"/>
        </w:rPr>
        <w:t xml:space="preserve">Cover photos courtesy of Flickr Creative Commons: (from left to right) Frank Peters, </w:t>
      </w:r>
      <w:proofErr w:type="spellStart"/>
      <w:r w:rsidRPr="00A976BF">
        <w:rPr>
          <w:sz w:val="16"/>
        </w:rPr>
        <w:t>USDAGov</w:t>
      </w:r>
      <w:proofErr w:type="spellEnd"/>
      <w:r w:rsidRPr="00A976BF">
        <w:rPr>
          <w:sz w:val="16"/>
        </w:rPr>
        <w:t xml:space="preserve">, </w:t>
      </w:r>
      <w:proofErr w:type="spellStart"/>
      <w:r w:rsidRPr="00A976BF">
        <w:rPr>
          <w:sz w:val="16"/>
        </w:rPr>
        <w:t>ohad</w:t>
      </w:r>
      <w:proofErr w:type="spellEnd"/>
      <w:r w:rsidRPr="00A976BF">
        <w:rPr>
          <w:sz w:val="16"/>
        </w:rPr>
        <w:t xml:space="preserve">, </w:t>
      </w:r>
      <w:proofErr w:type="spellStart"/>
      <w:r w:rsidRPr="00A976BF">
        <w:rPr>
          <w:sz w:val="16"/>
        </w:rPr>
        <w:t>fredcamino</w:t>
      </w:r>
      <w:proofErr w:type="spellEnd"/>
      <w:r w:rsidRPr="00A976BF">
        <w:rPr>
          <w:sz w:val="16"/>
        </w:rPr>
        <w:t>, andsusieq3c</w:t>
      </w:r>
      <w:r>
        <w:rPr>
          <w:sz w:val="16"/>
        </w:rPr>
        <w:t>.</w:t>
      </w:r>
    </w:p>
    <w:p w14:paraId="2BE14F23" w14:textId="77777777" w:rsidR="00E51E01" w:rsidRDefault="00E51E01" w:rsidP="00EA165C">
      <w:pPr>
        <w:spacing w:line="240" w:lineRule="auto"/>
        <w:rPr>
          <w:color w:val="FFFFFF"/>
        </w:rPr>
      </w:pPr>
    </w:p>
    <w:sectPr w:rsidR="00E51E01" w:rsidSect="00A91719">
      <w:headerReference w:type="default" r:id="rId18"/>
      <w:footerReference w:type="default" r:id="rId19"/>
      <w:headerReference w:type="first" r:id="rId20"/>
      <w:footerReference w:type="first" r:id="rId21"/>
      <w:type w:val="continuous"/>
      <w:pgSz w:w="12240" w:h="15840" w:code="1"/>
      <w:pgMar w:top="1439" w:right="1440" w:bottom="1080" w:left="1987" w:header="0" w:footer="29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ED017" w14:textId="77777777" w:rsidR="00A45518" w:rsidRDefault="00A45518">
      <w:pPr>
        <w:spacing w:line="240" w:lineRule="auto"/>
      </w:pPr>
      <w:r>
        <w:separator/>
      </w:r>
    </w:p>
  </w:endnote>
  <w:endnote w:type="continuationSeparator" w:id="0">
    <w:p w14:paraId="7D79A368" w14:textId="77777777" w:rsidR="00A45518" w:rsidRDefault="00A455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4D"/>
    <w:family w:val="roman"/>
    <w:notTrueType/>
    <w:pitch w:val="default"/>
    <w:sig w:usb0="03000000"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dobe Garamond Pro">
    <w:panose1 w:val="02020502060506020403"/>
    <w:charset w:val="00"/>
    <w:family w:val="auto"/>
    <w:pitch w:val="variable"/>
    <w:sig w:usb0="00000007" w:usb1="00000001" w:usb2="00000000" w:usb3="00000000" w:csb0="00000093" w:csb1="00000000"/>
  </w:font>
  <w:font w:name="Adobe Caslon Pro">
    <w:panose1 w:val="0205050205050A020403"/>
    <w:charset w:val="00"/>
    <w:family w:val="auto"/>
    <w:pitch w:val="variable"/>
    <w:sig w:usb0="00000007" w:usb1="00000001" w:usb2="00000000" w:usb3="00000000" w:csb0="00000093" w:csb1="00000000"/>
  </w:font>
  <w:font w:name="Helvetica">
    <w:panose1 w:val="00000000000000000000"/>
    <w:charset w:val="00"/>
    <w:family w:val="auto"/>
    <w:pitch w:val="variable"/>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Arial Italic">
    <w:altName w:val="Arial"/>
    <w:panose1 w:val="020B0604020202090204"/>
    <w:charset w:val="00"/>
    <w:family w:val="auto"/>
    <w:pitch w:val="variable"/>
    <w:sig w:usb0="E0000AFF" w:usb1="00007843" w:usb2="00000001"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6EA9E" w14:textId="77777777" w:rsidR="00212F4A" w:rsidRPr="001F657F" w:rsidRDefault="00212F4A" w:rsidP="00E51E01">
    <w:pPr>
      <w:tabs>
        <w:tab w:val="left" w:pos="1530"/>
      </w:tabs>
      <w:spacing w:after="240"/>
      <w:rPr>
        <w:rFonts w:ascii="Arial" w:hAnsi="Arial"/>
        <w:color w:val="767878"/>
      </w:rPr>
    </w:pPr>
    <w:r w:rsidRPr="00263605">
      <w:rPr>
        <w:i/>
        <w:color w:val="767878"/>
        <w:sz w:val="20"/>
      </w:rPr>
      <w:t>Model Healthy Housing Policies for Comprehensive Plans</w:t>
    </w:r>
    <w:r>
      <w:rPr>
        <w:i/>
        <w:color w:val="767878"/>
        <w:sz w:val="20"/>
      </w:rPr>
      <w:tab/>
      <w:t xml:space="preserve">          </w:t>
    </w:r>
    <w:hyperlink r:id="rId1" w:history="1">
      <w:proofErr w:type="gramStart"/>
      <w:r w:rsidRPr="00A61FBC">
        <w:rPr>
          <w:rFonts w:ascii="Arial" w:hAnsi="Arial"/>
          <w:color w:val="00598D"/>
          <w:sz w:val="18"/>
        </w:rPr>
        <w:t xml:space="preserve">   changelabsolutions.org</w:t>
      </w:r>
      <w:proofErr w:type="gramEnd"/>
    </w:hyperlink>
    <w:r w:rsidRPr="00A61FBC">
      <w:rPr>
        <w:rFonts w:ascii="Arial" w:hAnsi="Arial"/>
        <w:color w:val="00598D"/>
        <w:sz w:val="18"/>
      </w:rPr>
      <w:t xml:space="preserve"> </w:t>
    </w:r>
    <w:r>
      <w:rPr>
        <w:rFonts w:ascii="Arial" w:hAnsi="Arial"/>
        <w:color w:val="767878"/>
      </w:rPr>
      <w:t xml:space="preserve">               </w:t>
    </w:r>
    <w:r w:rsidR="00BF67A0" w:rsidRPr="00496424">
      <w:rPr>
        <w:rStyle w:val="PageNumber"/>
        <w:i/>
        <w:sz w:val="20"/>
      </w:rPr>
      <w:fldChar w:fldCharType="begin"/>
    </w:r>
    <w:r w:rsidRPr="00496424">
      <w:rPr>
        <w:rStyle w:val="PageNumber"/>
        <w:i/>
        <w:sz w:val="20"/>
      </w:rPr>
      <w:instrText xml:space="preserve"> PAGE </w:instrText>
    </w:r>
    <w:r w:rsidR="00BF67A0" w:rsidRPr="00496424">
      <w:rPr>
        <w:rStyle w:val="PageNumber"/>
        <w:i/>
        <w:sz w:val="20"/>
      </w:rPr>
      <w:fldChar w:fldCharType="separate"/>
    </w:r>
    <w:r w:rsidR="007B0D74">
      <w:rPr>
        <w:rStyle w:val="PageNumber"/>
        <w:i/>
        <w:noProof/>
        <w:sz w:val="20"/>
      </w:rPr>
      <w:t>2</w:t>
    </w:r>
    <w:r w:rsidR="00BF67A0" w:rsidRPr="00496424">
      <w:rPr>
        <w:rStyle w:val="PageNumber"/>
        <w:i/>
        <w:sz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F06C" w14:textId="77777777" w:rsidR="00212F4A" w:rsidRPr="00C61527" w:rsidRDefault="00212F4A" w:rsidP="00E51E01">
    <w:pPr>
      <w:tabs>
        <w:tab w:val="left" w:pos="1530"/>
      </w:tabs>
      <w:spacing w:after="240"/>
      <w:ind w:left="1440"/>
      <w:rPr>
        <w:rFonts w:ascii="Arial" w:hAnsi="Arial"/>
        <w:color w:val="464847"/>
      </w:rPr>
    </w:pPr>
    <w:proofErr w:type="gramStart"/>
    <w:r w:rsidRPr="00C61527">
      <w:rPr>
        <w:rFonts w:ascii="Arial" w:hAnsi="Arial"/>
        <w:color w:val="464847"/>
      </w:rPr>
      <w:t>changelabsolutions.org</w:t>
    </w:r>
    <w:proofErr w:type="gramEnd"/>
    <w:r w:rsidRPr="00C61527">
      <w:rPr>
        <w:rFonts w:ascii="Arial" w:hAnsi="Arial"/>
        <w:color w:val="464847"/>
      </w:rPr>
      <w:t xml:space="preserve"> </w:t>
    </w:r>
  </w:p>
  <w:p w14:paraId="6A4A5F6F" w14:textId="77777777" w:rsidR="00212F4A" w:rsidRDefault="00212F4A" w:rsidP="00E51E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21F74" w14:textId="77777777" w:rsidR="00A45518" w:rsidRDefault="00A45518">
      <w:pPr>
        <w:spacing w:line="240" w:lineRule="auto"/>
      </w:pPr>
      <w:r>
        <w:separator/>
      </w:r>
    </w:p>
  </w:footnote>
  <w:footnote w:type="continuationSeparator" w:id="0">
    <w:p w14:paraId="3CCE0841" w14:textId="77777777" w:rsidR="00A45518" w:rsidRDefault="00A45518">
      <w:pPr>
        <w:spacing w:line="240" w:lineRule="auto"/>
      </w:pPr>
      <w:r>
        <w:continuationSeparator/>
      </w:r>
    </w:p>
  </w:footnote>
  <w:footnote w:id="1">
    <w:p w14:paraId="2895319F" w14:textId="77777777" w:rsidR="00212F4A" w:rsidRDefault="00212F4A" w:rsidP="00CC7545">
      <w:pPr>
        <w:pStyle w:val="BasicParagraph"/>
        <w:ind w:left="180" w:hanging="180"/>
      </w:pPr>
      <w:r w:rsidRPr="00CC7545">
        <w:rPr>
          <w:rStyle w:val="FootnoteReference"/>
          <w:vertAlign w:val="baseline"/>
        </w:rPr>
        <w:footnoteRef/>
      </w:r>
      <w:r w:rsidR="00BF67A0" w:rsidRPr="00A976BF">
        <w:t xml:space="preserve"> </w:t>
      </w:r>
      <w:r>
        <w:rPr>
          <w:rStyle w:val="FootnoteReference"/>
          <w:szCs w:val="20"/>
          <w:vertAlign w:val="baseline"/>
        </w:rPr>
        <w:tab/>
      </w:r>
      <w:r w:rsidRPr="00557F11">
        <w:rPr>
          <w:sz w:val="18"/>
          <w:szCs w:val="20"/>
        </w:rPr>
        <w:t>Relevant language includes that planners “shall seek social justice by working to expand choice and opportunity for all persons, recognizing a special responsibility to plan for the needs of the disadvantaged and to promote racial and economic integration. We shall urge the alteration of policies, institutions, and decisions that oppose such needs.”</w:t>
      </w:r>
      <w:r w:rsidR="00BF67A0" w:rsidRPr="00557F11">
        <w:rPr>
          <w:sz w:val="18"/>
          <w:szCs w:val="20"/>
        </w:rPr>
        <w:fldChar w:fldCharType="begin" w:fldLock="1"/>
      </w:r>
      <w:r w:rsidRPr="00557F11">
        <w:rPr>
          <w:sz w:val="18"/>
          <w:szCs w:val="20"/>
        </w:rPr>
        <w:instrText>ADDIN CSL_CITATION { "citationItems" : [ { "id" : "ITEM-1", "itemData" : { "URL" : "https://www.planning.org/ethics/ethicscode.htm", "accessed" : { "date-parts" : [ [ "2014", "12", "6" ] ] }, "id" : "ITEM-1", "issued" : { "date-parts" : [ [ "0" ] ] }, "title" : "AICP Code of Ethics and Professional Conduct", "type" : "webpage" }, "uris" : [ "http://www.mendeley.com/documents/?uuid=4510dbb7-525f-46e2-b5cb-0b1e395c686d" ] } ], "mendeley" : { "formattedCitation" : "&lt;sup&gt;13&lt;/sup&gt;", "plainTextFormattedCitation" : "13", "previouslyFormattedCitation" : "&lt;sup&gt;12&lt;/sup&gt;" }, "properties" : { "noteIndex" : 0 }, "schema" : "https://github.com/citation-style-language/schema/raw/master/csl-citation.json" }</w:instrText>
      </w:r>
      <w:r w:rsidR="00BF67A0" w:rsidRPr="00557F11">
        <w:rPr>
          <w:sz w:val="18"/>
          <w:szCs w:val="20"/>
        </w:rPr>
        <w:fldChar w:fldCharType="separate"/>
      </w:r>
      <w:r w:rsidRPr="00557F11">
        <w:rPr>
          <w:noProof/>
          <w:sz w:val="18"/>
          <w:szCs w:val="20"/>
          <w:vertAlign w:val="superscript"/>
        </w:rPr>
        <w:t>13</w:t>
      </w:r>
      <w:r w:rsidR="00BF67A0" w:rsidRPr="00557F11">
        <w:rPr>
          <w:sz w:val="18"/>
          <w:szCs w:val="20"/>
        </w:rPr>
        <w:fldChar w:fldCharType="end"/>
      </w:r>
    </w:p>
    <w:p w14:paraId="7E9D60AC" w14:textId="77777777" w:rsidR="00212F4A" w:rsidRDefault="00212F4A">
      <w:pPr>
        <w:pStyle w:val="FootnoteText"/>
      </w:pPr>
    </w:p>
  </w:footnote>
  <w:footnote w:id="2">
    <w:p w14:paraId="7692A45C" w14:textId="77777777" w:rsidR="00184A59" w:rsidRDefault="00BF67A0" w:rsidP="00A976BF">
      <w:pPr>
        <w:pStyle w:val="FootnoteText"/>
        <w:ind w:left="90" w:hanging="90"/>
      </w:pPr>
      <w:r w:rsidRPr="00A976BF">
        <w:rPr>
          <w:rStyle w:val="FootnoteReference"/>
          <w:szCs w:val="20"/>
          <w:vertAlign w:val="baseline"/>
        </w:rPr>
        <w:footnoteRef/>
      </w:r>
      <w:r w:rsidRPr="00A976BF">
        <w:rPr>
          <w:szCs w:val="20"/>
        </w:rPr>
        <w:t xml:space="preserve"> California law, for example, requires jurisdictions to identify adequate sites to address their very low-, low-, moderate-, and above moderate-income housing needs based on their Regional Housing Needs Allocation (RHNA).</w:t>
      </w:r>
    </w:p>
  </w:footnote>
  <w:footnote w:id="3">
    <w:p w14:paraId="72B8639E" w14:textId="77777777" w:rsidR="00184A59" w:rsidRPr="00A976BF" w:rsidRDefault="00BF67A0" w:rsidP="00A976BF">
      <w:pPr>
        <w:pStyle w:val="FootnoteText"/>
        <w:ind w:left="90" w:hanging="90"/>
        <w:rPr>
          <w:szCs w:val="20"/>
        </w:rPr>
      </w:pPr>
      <w:r w:rsidRPr="00A976BF">
        <w:rPr>
          <w:rStyle w:val="FootnoteReference"/>
          <w:szCs w:val="20"/>
        </w:rPr>
        <w:footnoteRef/>
      </w:r>
      <w:r w:rsidRPr="00A976BF">
        <w:rPr>
          <w:szCs w:val="20"/>
        </w:rPr>
        <w:t xml:space="preserve"> As defined by the National Association of Homebuilders, universal design is the “design of products and environments to be usable by all people, to the greatest extent possible, without the need for adaptation or specialized design.”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C0FB5" w14:textId="77777777" w:rsidR="00212F4A" w:rsidRDefault="00212F4A" w:rsidP="00E51E01">
    <w:pPr>
      <w:tabs>
        <w:tab w:val="right" w:pos="8914"/>
      </w:tabs>
      <w:spacing w:line="480" w:lineRule="auto"/>
    </w:pPr>
    <w:r>
      <w:rPr>
        <w:noProof/>
      </w:rPr>
      <w:drawing>
        <wp:anchor distT="0" distB="0" distL="114300" distR="114300" simplePos="0" relativeHeight="251657216" behindDoc="1" locked="0" layoutInCell="1" allowOverlap="1" wp14:anchorId="5BC702AD" wp14:editId="7CBE9956">
          <wp:simplePos x="0" y="0"/>
          <wp:positionH relativeFrom="column">
            <wp:posOffset>-141605</wp:posOffset>
          </wp:positionH>
          <wp:positionV relativeFrom="paragraph">
            <wp:posOffset>227330</wp:posOffset>
          </wp:positionV>
          <wp:extent cx="2118360" cy="528320"/>
          <wp:effectExtent l="25400" t="0" r="0" b="0"/>
          <wp:wrapNone/>
          <wp:docPr id="2"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LS_2ndPg.jpg"/>
                  <pic:cNvPicPr>
                    <a:picLocks noChangeAspect="1" noChangeArrowheads="1"/>
                  </pic:cNvPicPr>
                </pic:nvPicPr>
                <pic:blipFill>
                  <a:blip r:embed="rId1"/>
                  <a:srcRect/>
                  <a:stretch>
                    <a:fillRect/>
                  </a:stretch>
                </pic:blipFill>
                <pic:spPr bwMode="auto">
                  <a:xfrm>
                    <a:off x="0" y="0"/>
                    <a:ext cx="2118360" cy="5283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87880" w14:textId="77777777" w:rsidR="00212F4A" w:rsidRDefault="00212F4A" w:rsidP="00E51E01">
    <w:pPr>
      <w:ind w:left="-1800"/>
      <w:rPr>
        <w:noProof/>
      </w:rPr>
    </w:pPr>
  </w:p>
  <w:p w14:paraId="4FA3C8CD" w14:textId="77777777" w:rsidR="00212F4A" w:rsidRDefault="00212F4A" w:rsidP="00E51E01">
    <w:pPr>
      <w:ind w:left="-1800"/>
    </w:pPr>
  </w:p>
  <w:p w14:paraId="595B4C71" w14:textId="77777777" w:rsidR="00212F4A" w:rsidRDefault="00212F4A" w:rsidP="00E51E01">
    <w:pPr>
      <w:ind w:left="-1800"/>
    </w:pPr>
  </w:p>
  <w:p w14:paraId="1E908171" w14:textId="77777777" w:rsidR="00212F4A" w:rsidRDefault="00212F4A" w:rsidP="00E51E01">
    <w:pPr>
      <w:ind w:left="-1800"/>
    </w:pPr>
  </w:p>
  <w:p w14:paraId="28C27F3B" w14:textId="77777777" w:rsidR="00212F4A" w:rsidRDefault="00AF4278" w:rsidP="00E51E01">
    <w:pPr>
      <w:ind w:left="-1800"/>
    </w:pPr>
    <w:r>
      <w:rPr>
        <w:noProof/>
      </w:rPr>
      <w:drawing>
        <wp:anchor distT="0" distB="0" distL="114300" distR="114300" simplePos="0" relativeHeight="251660288" behindDoc="1" locked="0" layoutInCell="1" allowOverlap="1" wp14:anchorId="370D6710" wp14:editId="18379D2B">
          <wp:simplePos x="0" y="0"/>
          <wp:positionH relativeFrom="column">
            <wp:posOffset>-178012</wp:posOffset>
          </wp:positionH>
          <wp:positionV relativeFrom="paragraph">
            <wp:posOffset>-364067</wp:posOffset>
          </wp:positionV>
          <wp:extent cx="4106545" cy="1109134"/>
          <wp:effectExtent l="25400" t="0" r="8255" b="0"/>
          <wp:wrapNone/>
          <wp:docPr id="3"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6545" cy="1105535"/>
                  </a:xfrm>
                  <a:prstGeom prst="rect">
                    <a:avLst/>
                  </a:prstGeom>
                </pic:spPr>
              </pic:pic>
            </a:graphicData>
          </a:graphic>
        </wp:anchor>
      </w:drawing>
    </w:r>
  </w:p>
  <w:p w14:paraId="4897B03B" w14:textId="77777777" w:rsidR="00212F4A" w:rsidRDefault="00212F4A" w:rsidP="00E51E01">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60271"/>
    <w:multiLevelType w:val="hybridMultilevel"/>
    <w:tmpl w:val="36D013E0"/>
    <w:lvl w:ilvl="0" w:tplc="28FCC1C4">
      <w:start w:val="1"/>
      <w:numFmt w:val="lowerLetter"/>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7CB2E9B"/>
    <w:multiLevelType w:val="hybridMultilevel"/>
    <w:tmpl w:val="56902B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0AA17A3D"/>
    <w:multiLevelType w:val="multilevel"/>
    <w:tmpl w:val="8E840A78"/>
    <w:styleLink w:val="List41"/>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numFmt w:val="bullet"/>
      <w:lvlText w:val="•"/>
      <w:lvlJc w:val="left"/>
      <w:pPr>
        <w:tabs>
          <w:tab w:val="num" w:pos="2880"/>
        </w:tabs>
        <w:ind w:left="2880" w:hanging="360"/>
      </w:pPr>
      <w:rPr>
        <w:position w:val="0"/>
        <w:sz w:val="22"/>
        <w:szCs w:val="22"/>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3">
    <w:nsid w:val="0E657C4E"/>
    <w:multiLevelType w:val="multilevel"/>
    <w:tmpl w:val="FB885852"/>
    <w:styleLink w:val="List6"/>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4">
    <w:nsid w:val="1CD37541"/>
    <w:multiLevelType w:val="hybridMultilevel"/>
    <w:tmpl w:val="35963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8C0A58"/>
    <w:multiLevelType w:val="multilevel"/>
    <w:tmpl w:val="2BBC383A"/>
    <w:styleLink w:val="List0"/>
    <w:lvl w:ilvl="0">
      <w:start w:val="1"/>
      <w:numFmt w:val="bullet"/>
      <w:lvlText w:val="•"/>
      <w:lvlJc w:val="left"/>
      <w:pPr>
        <w:tabs>
          <w:tab w:val="num" w:pos="720"/>
        </w:tabs>
        <w:ind w:left="720" w:hanging="360"/>
      </w:pPr>
      <w:rPr>
        <w:position w:val="0"/>
        <w:sz w:val="24"/>
        <w:szCs w:val="24"/>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6">
    <w:nsid w:val="24CF4818"/>
    <w:multiLevelType w:val="hybridMultilevel"/>
    <w:tmpl w:val="3FF06DAA"/>
    <w:lvl w:ilvl="0" w:tplc="4514A510">
      <w:start w:val="1"/>
      <w:numFmt w:val="upperLetter"/>
      <w:lvlText w:val="(%1)"/>
      <w:lvlJc w:val="left"/>
      <w:pPr>
        <w:ind w:left="720" w:hanging="360"/>
      </w:pPr>
      <w:rPr>
        <w:rFonts w:hint="default"/>
        <w:b/>
      </w:rPr>
    </w:lvl>
    <w:lvl w:ilvl="1" w:tplc="D780FDD8" w:tentative="1">
      <w:start w:val="1"/>
      <w:numFmt w:val="lowerLetter"/>
      <w:lvlText w:val="%2."/>
      <w:lvlJc w:val="left"/>
      <w:pPr>
        <w:ind w:left="1440" w:hanging="360"/>
      </w:pPr>
    </w:lvl>
    <w:lvl w:ilvl="2" w:tplc="093EE174" w:tentative="1">
      <w:start w:val="1"/>
      <w:numFmt w:val="lowerRoman"/>
      <w:lvlText w:val="%3."/>
      <w:lvlJc w:val="right"/>
      <w:pPr>
        <w:ind w:left="2160" w:hanging="180"/>
      </w:pPr>
    </w:lvl>
    <w:lvl w:ilvl="3" w:tplc="C016B266" w:tentative="1">
      <w:start w:val="1"/>
      <w:numFmt w:val="decimal"/>
      <w:lvlText w:val="%4."/>
      <w:lvlJc w:val="left"/>
      <w:pPr>
        <w:ind w:left="2880" w:hanging="360"/>
      </w:pPr>
    </w:lvl>
    <w:lvl w:ilvl="4" w:tplc="8902A98E" w:tentative="1">
      <w:start w:val="1"/>
      <w:numFmt w:val="lowerLetter"/>
      <w:lvlText w:val="%5."/>
      <w:lvlJc w:val="left"/>
      <w:pPr>
        <w:ind w:left="3600" w:hanging="360"/>
      </w:pPr>
    </w:lvl>
    <w:lvl w:ilvl="5" w:tplc="2048C6C0" w:tentative="1">
      <w:start w:val="1"/>
      <w:numFmt w:val="lowerRoman"/>
      <w:lvlText w:val="%6."/>
      <w:lvlJc w:val="right"/>
      <w:pPr>
        <w:ind w:left="4320" w:hanging="180"/>
      </w:pPr>
    </w:lvl>
    <w:lvl w:ilvl="6" w:tplc="5352E14A" w:tentative="1">
      <w:start w:val="1"/>
      <w:numFmt w:val="decimal"/>
      <w:lvlText w:val="%7."/>
      <w:lvlJc w:val="left"/>
      <w:pPr>
        <w:ind w:left="5040" w:hanging="360"/>
      </w:pPr>
    </w:lvl>
    <w:lvl w:ilvl="7" w:tplc="7C14B2FE" w:tentative="1">
      <w:start w:val="1"/>
      <w:numFmt w:val="lowerLetter"/>
      <w:lvlText w:val="%8."/>
      <w:lvlJc w:val="left"/>
      <w:pPr>
        <w:ind w:left="5760" w:hanging="360"/>
      </w:pPr>
    </w:lvl>
    <w:lvl w:ilvl="8" w:tplc="63263784" w:tentative="1">
      <w:start w:val="1"/>
      <w:numFmt w:val="lowerRoman"/>
      <w:lvlText w:val="%9."/>
      <w:lvlJc w:val="right"/>
      <w:pPr>
        <w:ind w:left="6480" w:hanging="180"/>
      </w:pPr>
    </w:lvl>
  </w:abstractNum>
  <w:abstractNum w:abstractNumId="17">
    <w:nsid w:val="315F47BF"/>
    <w:multiLevelType w:val="hybridMultilevel"/>
    <w:tmpl w:val="37808B42"/>
    <w:lvl w:ilvl="0" w:tplc="A912A32C">
      <w:start w:val="1"/>
      <w:numFmt w:val="bullet"/>
      <w:pStyle w:val="commentsbullets"/>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8">
    <w:nsid w:val="38AA0E5C"/>
    <w:multiLevelType w:val="multilevel"/>
    <w:tmpl w:val="04160552"/>
    <w:styleLink w:val="List31"/>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numFmt w:val="bullet"/>
      <w:lvlText w:val="•"/>
      <w:lvlJc w:val="left"/>
      <w:pPr>
        <w:tabs>
          <w:tab w:val="num" w:pos="2880"/>
        </w:tabs>
        <w:ind w:left="2880" w:hanging="360"/>
      </w:pPr>
      <w:rPr>
        <w:position w:val="0"/>
        <w:sz w:val="22"/>
        <w:szCs w:val="22"/>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9">
    <w:nsid w:val="39AB0789"/>
    <w:multiLevelType w:val="multilevel"/>
    <w:tmpl w:val="834A472C"/>
    <w:styleLink w:val="List21"/>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0">
    <w:nsid w:val="3AE240A9"/>
    <w:multiLevelType w:val="multilevel"/>
    <w:tmpl w:val="6CF6A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0595E20"/>
    <w:multiLevelType w:val="hybridMultilevel"/>
    <w:tmpl w:val="7892E292"/>
    <w:lvl w:ilvl="0" w:tplc="E18C3D94">
      <w:start w:val="1"/>
      <w:numFmt w:val="bullet"/>
      <w:lvlText w:val=""/>
      <w:lvlJc w:val="left"/>
      <w:pPr>
        <w:ind w:left="750" w:hanging="360"/>
      </w:pPr>
      <w:rPr>
        <w:rFonts w:ascii="Symbol" w:hAnsi="Symbol" w:hint="default"/>
      </w:rPr>
    </w:lvl>
    <w:lvl w:ilvl="1" w:tplc="A6F2078A" w:tentative="1">
      <w:start w:val="1"/>
      <w:numFmt w:val="bullet"/>
      <w:lvlText w:val="o"/>
      <w:lvlJc w:val="left"/>
      <w:pPr>
        <w:ind w:left="1470" w:hanging="360"/>
      </w:pPr>
      <w:rPr>
        <w:rFonts w:ascii="Courier New" w:hAnsi="Courier New" w:cs="Webdings" w:hint="default"/>
      </w:rPr>
    </w:lvl>
    <w:lvl w:ilvl="2" w:tplc="73F2A5CE" w:tentative="1">
      <w:start w:val="1"/>
      <w:numFmt w:val="bullet"/>
      <w:lvlText w:val=""/>
      <w:lvlJc w:val="left"/>
      <w:pPr>
        <w:ind w:left="2190" w:hanging="360"/>
      </w:pPr>
      <w:rPr>
        <w:rFonts w:ascii="Wingdings" w:hAnsi="Wingdings" w:hint="default"/>
      </w:rPr>
    </w:lvl>
    <w:lvl w:ilvl="3" w:tplc="7E66B558" w:tentative="1">
      <w:start w:val="1"/>
      <w:numFmt w:val="bullet"/>
      <w:lvlText w:val=""/>
      <w:lvlJc w:val="left"/>
      <w:pPr>
        <w:ind w:left="2910" w:hanging="360"/>
      </w:pPr>
      <w:rPr>
        <w:rFonts w:ascii="Symbol" w:hAnsi="Symbol" w:hint="default"/>
      </w:rPr>
    </w:lvl>
    <w:lvl w:ilvl="4" w:tplc="5E1A649E" w:tentative="1">
      <w:start w:val="1"/>
      <w:numFmt w:val="bullet"/>
      <w:lvlText w:val="o"/>
      <w:lvlJc w:val="left"/>
      <w:pPr>
        <w:ind w:left="3630" w:hanging="360"/>
      </w:pPr>
      <w:rPr>
        <w:rFonts w:ascii="Courier New" w:hAnsi="Courier New" w:cs="Webdings" w:hint="default"/>
      </w:rPr>
    </w:lvl>
    <w:lvl w:ilvl="5" w:tplc="572CB848" w:tentative="1">
      <w:start w:val="1"/>
      <w:numFmt w:val="bullet"/>
      <w:lvlText w:val=""/>
      <w:lvlJc w:val="left"/>
      <w:pPr>
        <w:ind w:left="4350" w:hanging="360"/>
      </w:pPr>
      <w:rPr>
        <w:rFonts w:ascii="Wingdings" w:hAnsi="Wingdings" w:hint="default"/>
      </w:rPr>
    </w:lvl>
    <w:lvl w:ilvl="6" w:tplc="1D0480F2" w:tentative="1">
      <w:start w:val="1"/>
      <w:numFmt w:val="bullet"/>
      <w:lvlText w:val=""/>
      <w:lvlJc w:val="left"/>
      <w:pPr>
        <w:ind w:left="5070" w:hanging="360"/>
      </w:pPr>
      <w:rPr>
        <w:rFonts w:ascii="Symbol" w:hAnsi="Symbol" w:hint="default"/>
      </w:rPr>
    </w:lvl>
    <w:lvl w:ilvl="7" w:tplc="57909E00" w:tentative="1">
      <w:start w:val="1"/>
      <w:numFmt w:val="bullet"/>
      <w:lvlText w:val="o"/>
      <w:lvlJc w:val="left"/>
      <w:pPr>
        <w:ind w:left="5790" w:hanging="360"/>
      </w:pPr>
      <w:rPr>
        <w:rFonts w:ascii="Courier New" w:hAnsi="Courier New" w:cs="Webdings" w:hint="default"/>
      </w:rPr>
    </w:lvl>
    <w:lvl w:ilvl="8" w:tplc="EA7EA70C" w:tentative="1">
      <w:start w:val="1"/>
      <w:numFmt w:val="bullet"/>
      <w:lvlText w:val=""/>
      <w:lvlJc w:val="left"/>
      <w:pPr>
        <w:ind w:left="6510" w:hanging="360"/>
      </w:pPr>
      <w:rPr>
        <w:rFonts w:ascii="Wingdings" w:hAnsi="Wingdings" w:hint="default"/>
      </w:rPr>
    </w:lvl>
  </w:abstractNum>
  <w:abstractNum w:abstractNumId="22">
    <w:nsid w:val="43D16810"/>
    <w:multiLevelType w:val="hybridMultilevel"/>
    <w:tmpl w:val="07C67D56"/>
    <w:lvl w:ilvl="0" w:tplc="57B6754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84CDB"/>
    <w:multiLevelType w:val="hybridMultilevel"/>
    <w:tmpl w:val="0282ADBE"/>
    <w:lvl w:ilvl="0" w:tplc="04090001">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
    <w:nsid w:val="45AA4195"/>
    <w:multiLevelType w:val="multilevel"/>
    <w:tmpl w:val="626C2EE8"/>
    <w:styleLink w:val="List8"/>
    <w:lvl w:ilvl="0">
      <w:start w:val="1"/>
      <w:numFmt w:val="bullet"/>
      <w:lvlText w:val="•"/>
      <w:lvlJc w:val="left"/>
      <w:pPr>
        <w:tabs>
          <w:tab w:val="num" w:pos="720"/>
        </w:tabs>
        <w:ind w:left="720" w:hanging="360"/>
      </w:pPr>
      <w:rPr>
        <w:position w:val="0"/>
        <w:sz w:val="24"/>
        <w:szCs w:val="24"/>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5">
    <w:nsid w:val="49477AA4"/>
    <w:multiLevelType w:val="hybridMultilevel"/>
    <w:tmpl w:val="AFD28736"/>
    <w:lvl w:ilvl="0" w:tplc="609E0D96">
      <w:start w:val="1"/>
      <w:numFmt w:val="bullet"/>
      <w:pStyle w:val="bullets"/>
      <w:lvlText w:val=""/>
      <w:lvlJc w:val="left"/>
      <w:pPr>
        <w:ind w:left="900" w:hanging="252"/>
      </w:pPr>
      <w:rPr>
        <w:rFonts w:ascii="Symbol" w:hAnsi="Symbol" w:hint="default"/>
      </w:rPr>
    </w:lvl>
    <w:lvl w:ilvl="1" w:tplc="A31CFBBC">
      <w:start w:val="1"/>
      <w:numFmt w:val="bullet"/>
      <w:lvlText w:val="o"/>
      <w:lvlJc w:val="left"/>
      <w:pPr>
        <w:ind w:left="1440" w:hanging="360"/>
      </w:pPr>
      <w:rPr>
        <w:rFonts w:ascii="Courier New" w:hAnsi="Courier New" w:hint="default"/>
      </w:rPr>
    </w:lvl>
    <w:lvl w:ilvl="2" w:tplc="21A636F2" w:tentative="1">
      <w:start w:val="1"/>
      <w:numFmt w:val="bullet"/>
      <w:lvlText w:val=""/>
      <w:lvlJc w:val="left"/>
      <w:pPr>
        <w:ind w:left="2160" w:hanging="360"/>
      </w:pPr>
      <w:rPr>
        <w:rFonts w:ascii="Wingdings" w:hAnsi="Wingdings" w:hint="default"/>
      </w:rPr>
    </w:lvl>
    <w:lvl w:ilvl="3" w:tplc="5DE44F62" w:tentative="1">
      <w:start w:val="1"/>
      <w:numFmt w:val="bullet"/>
      <w:lvlText w:val=""/>
      <w:lvlJc w:val="left"/>
      <w:pPr>
        <w:ind w:left="2880" w:hanging="360"/>
      </w:pPr>
      <w:rPr>
        <w:rFonts w:ascii="Symbol" w:hAnsi="Symbol" w:hint="default"/>
      </w:rPr>
    </w:lvl>
    <w:lvl w:ilvl="4" w:tplc="EC90D754" w:tentative="1">
      <w:start w:val="1"/>
      <w:numFmt w:val="bullet"/>
      <w:lvlText w:val="o"/>
      <w:lvlJc w:val="left"/>
      <w:pPr>
        <w:ind w:left="3600" w:hanging="360"/>
      </w:pPr>
      <w:rPr>
        <w:rFonts w:ascii="Courier New" w:hAnsi="Courier New" w:hint="default"/>
      </w:rPr>
    </w:lvl>
    <w:lvl w:ilvl="5" w:tplc="4DF2A700" w:tentative="1">
      <w:start w:val="1"/>
      <w:numFmt w:val="bullet"/>
      <w:lvlText w:val=""/>
      <w:lvlJc w:val="left"/>
      <w:pPr>
        <w:ind w:left="4320" w:hanging="360"/>
      </w:pPr>
      <w:rPr>
        <w:rFonts w:ascii="Wingdings" w:hAnsi="Wingdings" w:hint="default"/>
      </w:rPr>
    </w:lvl>
    <w:lvl w:ilvl="6" w:tplc="4934D290" w:tentative="1">
      <w:start w:val="1"/>
      <w:numFmt w:val="bullet"/>
      <w:lvlText w:val=""/>
      <w:lvlJc w:val="left"/>
      <w:pPr>
        <w:ind w:left="5040" w:hanging="360"/>
      </w:pPr>
      <w:rPr>
        <w:rFonts w:ascii="Symbol" w:hAnsi="Symbol" w:hint="default"/>
      </w:rPr>
    </w:lvl>
    <w:lvl w:ilvl="7" w:tplc="6AEE840C" w:tentative="1">
      <w:start w:val="1"/>
      <w:numFmt w:val="bullet"/>
      <w:lvlText w:val="o"/>
      <w:lvlJc w:val="left"/>
      <w:pPr>
        <w:ind w:left="5760" w:hanging="360"/>
      </w:pPr>
      <w:rPr>
        <w:rFonts w:ascii="Courier New" w:hAnsi="Courier New" w:hint="default"/>
      </w:rPr>
    </w:lvl>
    <w:lvl w:ilvl="8" w:tplc="47F637BA" w:tentative="1">
      <w:start w:val="1"/>
      <w:numFmt w:val="bullet"/>
      <w:lvlText w:val=""/>
      <w:lvlJc w:val="left"/>
      <w:pPr>
        <w:ind w:left="6480" w:hanging="360"/>
      </w:pPr>
      <w:rPr>
        <w:rFonts w:ascii="Wingdings" w:hAnsi="Wingdings" w:hint="default"/>
      </w:rPr>
    </w:lvl>
  </w:abstractNum>
  <w:abstractNum w:abstractNumId="26">
    <w:nsid w:val="49F16452"/>
    <w:multiLevelType w:val="hybridMultilevel"/>
    <w:tmpl w:val="DFEE6EF6"/>
    <w:lvl w:ilvl="0" w:tplc="74C6698A">
      <w:start w:val="1"/>
      <w:numFmt w:val="bullet"/>
      <w:lvlText w:val=""/>
      <w:lvlJc w:val="left"/>
      <w:pPr>
        <w:ind w:left="720" w:hanging="360"/>
      </w:pPr>
      <w:rPr>
        <w:rFonts w:ascii="Symbol" w:hAnsi="Symbol" w:hint="default"/>
      </w:rPr>
    </w:lvl>
    <w:lvl w:ilvl="1" w:tplc="2C32E5E2" w:tentative="1">
      <w:start w:val="1"/>
      <w:numFmt w:val="bullet"/>
      <w:lvlText w:val="o"/>
      <w:lvlJc w:val="left"/>
      <w:pPr>
        <w:ind w:left="1440" w:hanging="360"/>
      </w:pPr>
      <w:rPr>
        <w:rFonts w:ascii="Courier New" w:hAnsi="Courier New" w:cs="Symbol" w:hint="default"/>
      </w:rPr>
    </w:lvl>
    <w:lvl w:ilvl="2" w:tplc="BE3A3A9C" w:tentative="1">
      <w:start w:val="1"/>
      <w:numFmt w:val="bullet"/>
      <w:lvlText w:val=""/>
      <w:lvlJc w:val="left"/>
      <w:pPr>
        <w:ind w:left="2160" w:hanging="360"/>
      </w:pPr>
      <w:rPr>
        <w:rFonts w:ascii="Wingdings" w:hAnsi="Wingdings" w:hint="default"/>
      </w:rPr>
    </w:lvl>
    <w:lvl w:ilvl="3" w:tplc="06F428CE" w:tentative="1">
      <w:start w:val="1"/>
      <w:numFmt w:val="bullet"/>
      <w:lvlText w:val=""/>
      <w:lvlJc w:val="left"/>
      <w:pPr>
        <w:ind w:left="2880" w:hanging="360"/>
      </w:pPr>
      <w:rPr>
        <w:rFonts w:ascii="Symbol" w:hAnsi="Symbol" w:hint="default"/>
      </w:rPr>
    </w:lvl>
    <w:lvl w:ilvl="4" w:tplc="BEEE251C" w:tentative="1">
      <w:start w:val="1"/>
      <w:numFmt w:val="bullet"/>
      <w:lvlText w:val="o"/>
      <w:lvlJc w:val="left"/>
      <w:pPr>
        <w:ind w:left="3600" w:hanging="360"/>
      </w:pPr>
      <w:rPr>
        <w:rFonts w:ascii="Courier New" w:hAnsi="Courier New" w:cs="Symbol" w:hint="default"/>
      </w:rPr>
    </w:lvl>
    <w:lvl w:ilvl="5" w:tplc="27ECD3F0" w:tentative="1">
      <w:start w:val="1"/>
      <w:numFmt w:val="bullet"/>
      <w:lvlText w:val=""/>
      <w:lvlJc w:val="left"/>
      <w:pPr>
        <w:ind w:left="4320" w:hanging="360"/>
      </w:pPr>
      <w:rPr>
        <w:rFonts w:ascii="Wingdings" w:hAnsi="Wingdings" w:hint="default"/>
      </w:rPr>
    </w:lvl>
    <w:lvl w:ilvl="6" w:tplc="1ABC0390" w:tentative="1">
      <w:start w:val="1"/>
      <w:numFmt w:val="bullet"/>
      <w:lvlText w:val=""/>
      <w:lvlJc w:val="left"/>
      <w:pPr>
        <w:ind w:left="5040" w:hanging="360"/>
      </w:pPr>
      <w:rPr>
        <w:rFonts w:ascii="Symbol" w:hAnsi="Symbol" w:hint="default"/>
      </w:rPr>
    </w:lvl>
    <w:lvl w:ilvl="7" w:tplc="FE56C916" w:tentative="1">
      <w:start w:val="1"/>
      <w:numFmt w:val="bullet"/>
      <w:lvlText w:val="o"/>
      <w:lvlJc w:val="left"/>
      <w:pPr>
        <w:ind w:left="5760" w:hanging="360"/>
      </w:pPr>
      <w:rPr>
        <w:rFonts w:ascii="Courier New" w:hAnsi="Courier New" w:cs="Symbol" w:hint="default"/>
      </w:rPr>
    </w:lvl>
    <w:lvl w:ilvl="8" w:tplc="F8325742" w:tentative="1">
      <w:start w:val="1"/>
      <w:numFmt w:val="bullet"/>
      <w:lvlText w:val=""/>
      <w:lvlJc w:val="left"/>
      <w:pPr>
        <w:ind w:left="6480" w:hanging="360"/>
      </w:pPr>
      <w:rPr>
        <w:rFonts w:ascii="Wingdings" w:hAnsi="Wingdings" w:hint="default"/>
      </w:rPr>
    </w:lvl>
  </w:abstractNum>
  <w:abstractNum w:abstractNumId="27">
    <w:nsid w:val="4E4273C8"/>
    <w:multiLevelType w:val="hybridMultilevel"/>
    <w:tmpl w:val="DBA6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8107BC"/>
    <w:multiLevelType w:val="multilevel"/>
    <w:tmpl w:val="D6E82AB0"/>
    <w:styleLink w:val="List51"/>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numFmt w:val="bullet"/>
      <w:lvlText w:val="•"/>
      <w:lvlJc w:val="left"/>
      <w:pPr>
        <w:tabs>
          <w:tab w:val="num" w:pos="2880"/>
        </w:tabs>
        <w:ind w:left="2880" w:hanging="360"/>
      </w:pPr>
      <w:rPr>
        <w:position w:val="0"/>
        <w:sz w:val="22"/>
        <w:szCs w:val="22"/>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9">
    <w:nsid w:val="593639C6"/>
    <w:multiLevelType w:val="multilevel"/>
    <w:tmpl w:val="4ADE8F10"/>
    <w:styleLink w:val="List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0">
    <w:nsid w:val="5AB92BB6"/>
    <w:multiLevelType w:val="hybridMultilevel"/>
    <w:tmpl w:val="3A9E3574"/>
    <w:lvl w:ilvl="0" w:tplc="7938FDA8">
      <w:start w:val="1"/>
      <w:numFmt w:val="bullet"/>
      <w:lvlText w:val=""/>
      <w:lvlJc w:val="left"/>
      <w:pPr>
        <w:ind w:left="720" w:hanging="360"/>
      </w:pPr>
      <w:rPr>
        <w:rFonts w:ascii="Symbol" w:hAnsi="Symbol" w:hint="default"/>
      </w:rPr>
    </w:lvl>
    <w:lvl w:ilvl="1" w:tplc="BEB6E584" w:tentative="1">
      <w:start w:val="1"/>
      <w:numFmt w:val="bullet"/>
      <w:lvlText w:val="o"/>
      <w:lvlJc w:val="left"/>
      <w:pPr>
        <w:ind w:left="1440" w:hanging="360"/>
      </w:pPr>
      <w:rPr>
        <w:rFonts w:ascii="Courier New" w:hAnsi="Courier New" w:cs="Courier New" w:hint="default"/>
      </w:rPr>
    </w:lvl>
    <w:lvl w:ilvl="2" w:tplc="768EB05E" w:tentative="1">
      <w:start w:val="1"/>
      <w:numFmt w:val="bullet"/>
      <w:lvlText w:val=""/>
      <w:lvlJc w:val="left"/>
      <w:pPr>
        <w:ind w:left="2160" w:hanging="360"/>
      </w:pPr>
      <w:rPr>
        <w:rFonts w:ascii="Wingdings" w:hAnsi="Wingdings" w:hint="default"/>
      </w:rPr>
    </w:lvl>
    <w:lvl w:ilvl="3" w:tplc="B130FB08" w:tentative="1">
      <w:start w:val="1"/>
      <w:numFmt w:val="bullet"/>
      <w:lvlText w:val=""/>
      <w:lvlJc w:val="left"/>
      <w:pPr>
        <w:ind w:left="2880" w:hanging="360"/>
      </w:pPr>
      <w:rPr>
        <w:rFonts w:ascii="Symbol" w:hAnsi="Symbol" w:hint="default"/>
      </w:rPr>
    </w:lvl>
    <w:lvl w:ilvl="4" w:tplc="2DEC0684" w:tentative="1">
      <w:start w:val="1"/>
      <w:numFmt w:val="bullet"/>
      <w:lvlText w:val="o"/>
      <w:lvlJc w:val="left"/>
      <w:pPr>
        <w:ind w:left="3600" w:hanging="360"/>
      </w:pPr>
      <w:rPr>
        <w:rFonts w:ascii="Courier New" w:hAnsi="Courier New" w:cs="Courier New" w:hint="default"/>
      </w:rPr>
    </w:lvl>
    <w:lvl w:ilvl="5" w:tplc="42004502" w:tentative="1">
      <w:start w:val="1"/>
      <w:numFmt w:val="bullet"/>
      <w:lvlText w:val=""/>
      <w:lvlJc w:val="left"/>
      <w:pPr>
        <w:ind w:left="4320" w:hanging="360"/>
      </w:pPr>
      <w:rPr>
        <w:rFonts w:ascii="Wingdings" w:hAnsi="Wingdings" w:hint="default"/>
      </w:rPr>
    </w:lvl>
    <w:lvl w:ilvl="6" w:tplc="DC72AEDA" w:tentative="1">
      <w:start w:val="1"/>
      <w:numFmt w:val="bullet"/>
      <w:lvlText w:val=""/>
      <w:lvlJc w:val="left"/>
      <w:pPr>
        <w:ind w:left="5040" w:hanging="360"/>
      </w:pPr>
      <w:rPr>
        <w:rFonts w:ascii="Symbol" w:hAnsi="Symbol" w:hint="default"/>
      </w:rPr>
    </w:lvl>
    <w:lvl w:ilvl="7" w:tplc="7B2A766E" w:tentative="1">
      <w:start w:val="1"/>
      <w:numFmt w:val="bullet"/>
      <w:lvlText w:val="o"/>
      <w:lvlJc w:val="left"/>
      <w:pPr>
        <w:ind w:left="5760" w:hanging="360"/>
      </w:pPr>
      <w:rPr>
        <w:rFonts w:ascii="Courier New" w:hAnsi="Courier New" w:cs="Courier New" w:hint="default"/>
      </w:rPr>
    </w:lvl>
    <w:lvl w:ilvl="8" w:tplc="C1080736" w:tentative="1">
      <w:start w:val="1"/>
      <w:numFmt w:val="bullet"/>
      <w:lvlText w:val=""/>
      <w:lvlJc w:val="left"/>
      <w:pPr>
        <w:ind w:left="6480" w:hanging="360"/>
      </w:pPr>
      <w:rPr>
        <w:rFonts w:ascii="Wingdings" w:hAnsi="Wingdings" w:hint="default"/>
      </w:rPr>
    </w:lvl>
  </w:abstractNum>
  <w:abstractNum w:abstractNumId="31">
    <w:nsid w:val="5BF76633"/>
    <w:multiLevelType w:val="hybridMultilevel"/>
    <w:tmpl w:val="50DC8186"/>
    <w:lvl w:ilvl="0" w:tplc="04090001">
      <w:start w:val="1"/>
      <w:numFmt w:val="upperLetter"/>
      <w:lvlText w:val="(%1)"/>
      <w:lvlJc w:val="left"/>
      <w:pPr>
        <w:ind w:left="1785" w:hanging="1065"/>
      </w:pPr>
      <w:rPr>
        <w:rFonts w:hint="default"/>
        <w:b/>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2">
    <w:nsid w:val="60572781"/>
    <w:multiLevelType w:val="hybridMultilevel"/>
    <w:tmpl w:val="F6FA8E38"/>
    <w:lvl w:ilvl="0" w:tplc="90521D36">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3">
    <w:nsid w:val="631C6E58"/>
    <w:multiLevelType w:val="hybridMultilevel"/>
    <w:tmpl w:val="D7E880AE"/>
    <w:lvl w:ilvl="0" w:tplc="238E4270">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79602B67"/>
    <w:multiLevelType w:val="multilevel"/>
    <w:tmpl w:val="A88ED228"/>
    <w:styleLink w:val="List7"/>
    <w:lvl w:ilvl="0">
      <w:start w:val="1"/>
      <w:numFmt w:val="bullet"/>
      <w:lvlText w:val="•"/>
      <w:lvlJc w:val="left"/>
      <w:pPr>
        <w:tabs>
          <w:tab w:val="num" w:pos="360"/>
        </w:tabs>
        <w:ind w:left="360" w:hanging="360"/>
      </w:pPr>
      <w:rPr>
        <w:position w:val="0"/>
        <w:sz w:val="24"/>
        <w:szCs w:val="24"/>
        <w:rtl w:val="0"/>
      </w:rPr>
    </w:lvl>
    <w:lvl w:ilvl="1">
      <w:start w:val="1"/>
      <w:numFmt w:val="bullet"/>
      <w:lvlText w:val="o"/>
      <w:lvlJc w:val="left"/>
      <w:pPr>
        <w:tabs>
          <w:tab w:val="num" w:pos="1080"/>
        </w:tabs>
        <w:ind w:left="1080" w:hanging="360"/>
      </w:pPr>
      <w:rPr>
        <w:position w:val="0"/>
        <w:sz w:val="24"/>
        <w:szCs w:val="24"/>
        <w:rtl w:val="0"/>
      </w:rPr>
    </w:lvl>
    <w:lvl w:ilvl="2">
      <w:numFmt w:val="bullet"/>
      <w:lvlText w:val="▪"/>
      <w:lvlJc w:val="left"/>
      <w:pPr>
        <w:tabs>
          <w:tab w:val="num" w:pos="1800"/>
        </w:tabs>
        <w:ind w:left="1800" w:hanging="360"/>
      </w:pPr>
      <w:rPr>
        <w:position w:val="0"/>
        <w:sz w:val="22"/>
        <w:szCs w:val="22"/>
        <w:rtl w:val="0"/>
      </w:rPr>
    </w:lvl>
    <w:lvl w:ilvl="3">
      <w:start w:val="1"/>
      <w:numFmt w:val="bullet"/>
      <w:lvlText w:val="•"/>
      <w:lvlJc w:val="left"/>
      <w:pPr>
        <w:tabs>
          <w:tab w:val="num" w:pos="2520"/>
        </w:tabs>
        <w:ind w:left="2520" w:hanging="360"/>
      </w:pPr>
      <w:rPr>
        <w:position w:val="0"/>
        <w:sz w:val="24"/>
        <w:szCs w:val="24"/>
        <w:rtl w:val="0"/>
      </w:rPr>
    </w:lvl>
    <w:lvl w:ilvl="4">
      <w:start w:val="1"/>
      <w:numFmt w:val="bullet"/>
      <w:lvlText w:val="o"/>
      <w:lvlJc w:val="left"/>
      <w:pPr>
        <w:tabs>
          <w:tab w:val="num" w:pos="3240"/>
        </w:tabs>
        <w:ind w:left="3240" w:hanging="360"/>
      </w:pPr>
      <w:rPr>
        <w:position w:val="0"/>
        <w:sz w:val="24"/>
        <w:szCs w:val="24"/>
        <w:rtl w:val="0"/>
      </w:rPr>
    </w:lvl>
    <w:lvl w:ilvl="5">
      <w:start w:val="1"/>
      <w:numFmt w:val="bullet"/>
      <w:lvlText w:val="▪"/>
      <w:lvlJc w:val="left"/>
      <w:pPr>
        <w:tabs>
          <w:tab w:val="num" w:pos="3960"/>
        </w:tabs>
        <w:ind w:left="3960" w:hanging="360"/>
      </w:pPr>
      <w:rPr>
        <w:position w:val="0"/>
        <w:sz w:val="24"/>
        <w:szCs w:val="24"/>
        <w:rtl w:val="0"/>
      </w:rPr>
    </w:lvl>
    <w:lvl w:ilvl="6">
      <w:start w:val="1"/>
      <w:numFmt w:val="bullet"/>
      <w:lvlText w:val="•"/>
      <w:lvlJc w:val="left"/>
      <w:pPr>
        <w:tabs>
          <w:tab w:val="num" w:pos="4680"/>
        </w:tabs>
        <w:ind w:left="4680" w:hanging="360"/>
      </w:pPr>
      <w:rPr>
        <w:position w:val="0"/>
        <w:sz w:val="24"/>
        <w:szCs w:val="24"/>
        <w:rtl w:val="0"/>
      </w:rPr>
    </w:lvl>
    <w:lvl w:ilvl="7">
      <w:start w:val="1"/>
      <w:numFmt w:val="bullet"/>
      <w:lvlText w:val="o"/>
      <w:lvlJc w:val="left"/>
      <w:pPr>
        <w:tabs>
          <w:tab w:val="num" w:pos="5400"/>
        </w:tabs>
        <w:ind w:left="5400" w:hanging="360"/>
      </w:pPr>
      <w:rPr>
        <w:position w:val="0"/>
        <w:sz w:val="24"/>
        <w:szCs w:val="24"/>
        <w:rtl w:val="0"/>
      </w:rPr>
    </w:lvl>
    <w:lvl w:ilvl="8">
      <w:start w:val="1"/>
      <w:numFmt w:val="bullet"/>
      <w:lvlText w:val="▪"/>
      <w:lvlJc w:val="left"/>
      <w:pPr>
        <w:tabs>
          <w:tab w:val="num" w:pos="6120"/>
        </w:tabs>
        <w:ind w:left="6120" w:hanging="360"/>
      </w:pPr>
      <w:rPr>
        <w:position w:val="0"/>
        <w:sz w:val="24"/>
        <w:szCs w:val="24"/>
        <w:rtl w:val="0"/>
      </w:rPr>
    </w:lvl>
  </w:abstractNum>
  <w:abstractNum w:abstractNumId="35">
    <w:nsid w:val="799464F2"/>
    <w:multiLevelType w:val="hybridMultilevel"/>
    <w:tmpl w:val="B622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515D6F"/>
    <w:multiLevelType w:val="hybridMultilevel"/>
    <w:tmpl w:val="D752F020"/>
    <w:lvl w:ilvl="0" w:tplc="B198A78E">
      <w:start w:val="1"/>
      <w:numFmt w:val="decimal"/>
      <w:lvlText w:val="(%1)"/>
      <w:lvlJc w:val="left"/>
      <w:pPr>
        <w:ind w:left="2160" w:hanging="360"/>
      </w:pPr>
      <w:rPr>
        <w:rFonts w:hint="default"/>
        <w:b w:val="0"/>
        <w:i w:val="0"/>
      </w:rPr>
    </w:lvl>
    <w:lvl w:ilvl="1" w:tplc="9D5EB210">
      <w:start w:val="1"/>
      <w:numFmt w:val="lowerLetter"/>
      <w:lvlText w:val="%2."/>
      <w:lvlJc w:val="left"/>
      <w:pPr>
        <w:tabs>
          <w:tab w:val="num" w:pos="3752"/>
        </w:tabs>
        <w:ind w:left="3752" w:hanging="360"/>
      </w:pPr>
    </w:lvl>
    <w:lvl w:ilvl="2" w:tplc="C540A53C">
      <w:start w:val="1"/>
      <w:numFmt w:val="lowerLetter"/>
      <w:pStyle w:val="Numbered"/>
      <w:lvlText w:val="(%3)"/>
      <w:lvlJc w:val="left"/>
      <w:pPr>
        <w:tabs>
          <w:tab w:val="num" w:pos="4667"/>
        </w:tabs>
        <w:ind w:left="4667" w:hanging="375"/>
      </w:pPr>
      <w:rPr>
        <w:rFonts w:hint="default"/>
      </w:rPr>
    </w:lvl>
    <w:lvl w:ilvl="3" w:tplc="566C068C" w:tentative="1">
      <w:start w:val="1"/>
      <w:numFmt w:val="decimal"/>
      <w:lvlText w:val="%4."/>
      <w:lvlJc w:val="left"/>
      <w:pPr>
        <w:tabs>
          <w:tab w:val="num" w:pos="5192"/>
        </w:tabs>
        <w:ind w:left="5192" w:hanging="360"/>
      </w:pPr>
    </w:lvl>
    <w:lvl w:ilvl="4" w:tplc="927C4B3A" w:tentative="1">
      <w:start w:val="1"/>
      <w:numFmt w:val="lowerLetter"/>
      <w:lvlText w:val="%5."/>
      <w:lvlJc w:val="left"/>
      <w:pPr>
        <w:tabs>
          <w:tab w:val="num" w:pos="5912"/>
        </w:tabs>
        <w:ind w:left="5912" w:hanging="360"/>
      </w:pPr>
    </w:lvl>
    <w:lvl w:ilvl="5" w:tplc="7DD02D78" w:tentative="1">
      <w:start w:val="1"/>
      <w:numFmt w:val="lowerRoman"/>
      <w:lvlText w:val="%6."/>
      <w:lvlJc w:val="right"/>
      <w:pPr>
        <w:tabs>
          <w:tab w:val="num" w:pos="6632"/>
        </w:tabs>
        <w:ind w:left="6632" w:hanging="180"/>
      </w:pPr>
    </w:lvl>
    <w:lvl w:ilvl="6" w:tplc="BE74E41A" w:tentative="1">
      <w:start w:val="1"/>
      <w:numFmt w:val="decimal"/>
      <w:lvlText w:val="%7."/>
      <w:lvlJc w:val="left"/>
      <w:pPr>
        <w:tabs>
          <w:tab w:val="num" w:pos="7352"/>
        </w:tabs>
        <w:ind w:left="7352" w:hanging="360"/>
      </w:pPr>
    </w:lvl>
    <w:lvl w:ilvl="7" w:tplc="682A9044" w:tentative="1">
      <w:start w:val="1"/>
      <w:numFmt w:val="lowerLetter"/>
      <w:lvlText w:val="%8."/>
      <w:lvlJc w:val="left"/>
      <w:pPr>
        <w:tabs>
          <w:tab w:val="num" w:pos="8072"/>
        </w:tabs>
        <w:ind w:left="8072" w:hanging="360"/>
      </w:pPr>
    </w:lvl>
    <w:lvl w:ilvl="8" w:tplc="206400C6" w:tentative="1">
      <w:start w:val="1"/>
      <w:numFmt w:val="lowerRoman"/>
      <w:lvlText w:val="%9."/>
      <w:lvlJc w:val="right"/>
      <w:pPr>
        <w:tabs>
          <w:tab w:val="num" w:pos="8792"/>
        </w:tabs>
        <w:ind w:left="8792" w:hanging="180"/>
      </w:pPr>
    </w:lvl>
  </w:abstractNum>
  <w:num w:numId="1">
    <w:abstractNumId w:val="8"/>
  </w:num>
  <w:num w:numId="2">
    <w:abstractNumId w:val="3"/>
  </w:num>
  <w:num w:numId="3">
    <w:abstractNumId w:val="2"/>
  </w:num>
  <w:num w:numId="4">
    <w:abstractNumId w:val="1"/>
  </w:num>
  <w:num w:numId="5">
    <w:abstractNumId w:val="0"/>
  </w:num>
  <w:num w:numId="6">
    <w:abstractNumId w:val="17"/>
  </w:num>
  <w:num w:numId="7">
    <w:abstractNumId w:val="25"/>
  </w:num>
  <w:num w:numId="8">
    <w:abstractNumId w:val="9"/>
  </w:num>
  <w:num w:numId="9">
    <w:abstractNumId w:val="7"/>
  </w:num>
  <w:num w:numId="10">
    <w:abstractNumId w:val="6"/>
  </w:num>
  <w:num w:numId="11">
    <w:abstractNumId w:val="5"/>
  </w:num>
  <w:num w:numId="12">
    <w:abstractNumId w:val="4"/>
  </w:num>
  <w:num w:numId="13">
    <w:abstractNumId w:val="36"/>
  </w:num>
  <w:num w:numId="14">
    <w:abstractNumId w:val="21"/>
  </w:num>
  <w:num w:numId="15">
    <w:abstractNumId w:val="20"/>
  </w:num>
  <w:num w:numId="16">
    <w:abstractNumId w:val="31"/>
  </w:num>
  <w:num w:numId="17">
    <w:abstractNumId w:val="23"/>
  </w:num>
  <w:num w:numId="18">
    <w:abstractNumId w:val="16"/>
  </w:num>
  <w:num w:numId="19">
    <w:abstractNumId w:val="30"/>
  </w:num>
  <w:num w:numId="20">
    <w:abstractNumId w:val="10"/>
  </w:num>
  <w:num w:numId="21">
    <w:abstractNumId w:val="27"/>
  </w:num>
  <w:num w:numId="22">
    <w:abstractNumId w:val="14"/>
  </w:num>
  <w:num w:numId="23">
    <w:abstractNumId w:val="15"/>
  </w:num>
  <w:num w:numId="24">
    <w:abstractNumId w:val="19"/>
  </w:num>
  <w:num w:numId="25">
    <w:abstractNumId w:val="29"/>
  </w:num>
  <w:num w:numId="26">
    <w:abstractNumId w:val="28"/>
  </w:num>
  <w:num w:numId="27">
    <w:abstractNumId w:val="18"/>
  </w:num>
  <w:num w:numId="28">
    <w:abstractNumId w:val="12"/>
  </w:num>
  <w:num w:numId="29">
    <w:abstractNumId w:val="13"/>
  </w:num>
  <w:num w:numId="30">
    <w:abstractNumId w:val="34"/>
  </w:num>
  <w:num w:numId="31">
    <w:abstractNumId w:val="24"/>
  </w:num>
  <w:num w:numId="32">
    <w:abstractNumId w:val="26"/>
  </w:num>
  <w:num w:numId="33">
    <w:abstractNumId w:val="33"/>
  </w:num>
  <w:num w:numId="34">
    <w:abstractNumId w:val="32"/>
  </w:num>
  <w:num w:numId="35">
    <w:abstractNumId w:val="11"/>
  </w:num>
  <w:num w:numId="36">
    <w:abstractNumId w:val="3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embedSystemFonts/>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f9eed8,#dbe4e7,#e3eaea,#e3ed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E9"/>
    <w:rsid w:val="00082450"/>
    <w:rsid w:val="000C2C0F"/>
    <w:rsid w:val="00162512"/>
    <w:rsid w:val="00171F38"/>
    <w:rsid w:val="00184A59"/>
    <w:rsid w:val="00212F4A"/>
    <w:rsid w:val="00217CE6"/>
    <w:rsid w:val="00223B99"/>
    <w:rsid w:val="002414F7"/>
    <w:rsid w:val="002553D7"/>
    <w:rsid w:val="00263605"/>
    <w:rsid w:val="00286221"/>
    <w:rsid w:val="002C6DEC"/>
    <w:rsid w:val="00310AE9"/>
    <w:rsid w:val="00314B1B"/>
    <w:rsid w:val="00380769"/>
    <w:rsid w:val="004464CE"/>
    <w:rsid w:val="004747FC"/>
    <w:rsid w:val="004A3565"/>
    <w:rsid w:val="004B2931"/>
    <w:rsid w:val="004C3656"/>
    <w:rsid w:val="004D7F76"/>
    <w:rsid w:val="004E7A6A"/>
    <w:rsid w:val="00502C83"/>
    <w:rsid w:val="00505AE3"/>
    <w:rsid w:val="0052296C"/>
    <w:rsid w:val="005569FD"/>
    <w:rsid w:val="00557F11"/>
    <w:rsid w:val="00570CB4"/>
    <w:rsid w:val="005A7C79"/>
    <w:rsid w:val="005B2543"/>
    <w:rsid w:val="005D0260"/>
    <w:rsid w:val="00644823"/>
    <w:rsid w:val="0065269F"/>
    <w:rsid w:val="006759DA"/>
    <w:rsid w:val="00677537"/>
    <w:rsid w:val="006D6D22"/>
    <w:rsid w:val="006D7027"/>
    <w:rsid w:val="00714E99"/>
    <w:rsid w:val="007B0D74"/>
    <w:rsid w:val="0085791E"/>
    <w:rsid w:val="0086568A"/>
    <w:rsid w:val="008A3FE9"/>
    <w:rsid w:val="008E3AFE"/>
    <w:rsid w:val="00953E39"/>
    <w:rsid w:val="009653B8"/>
    <w:rsid w:val="00973DF0"/>
    <w:rsid w:val="009B3484"/>
    <w:rsid w:val="00A205EA"/>
    <w:rsid w:val="00A45518"/>
    <w:rsid w:val="00A50279"/>
    <w:rsid w:val="00A8161A"/>
    <w:rsid w:val="00A91719"/>
    <w:rsid w:val="00A976BF"/>
    <w:rsid w:val="00AB4ED4"/>
    <w:rsid w:val="00AD707B"/>
    <w:rsid w:val="00AE3DD0"/>
    <w:rsid w:val="00AF4278"/>
    <w:rsid w:val="00B11DEA"/>
    <w:rsid w:val="00B3056F"/>
    <w:rsid w:val="00B4032C"/>
    <w:rsid w:val="00BB1525"/>
    <w:rsid w:val="00BE2F09"/>
    <w:rsid w:val="00BF67A0"/>
    <w:rsid w:val="00BF6EFA"/>
    <w:rsid w:val="00C023F7"/>
    <w:rsid w:val="00C24374"/>
    <w:rsid w:val="00C642B4"/>
    <w:rsid w:val="00CC24EA"/>
    <w:rsid w:val="00CC7545"/>
    <w:rsid w:val="00D179ED"/>
    <w:rsid w:val="00D37048"/>
    <w:rsid w:val="00D47630"/>
    <w:rsid w:val="00D662FF"/>
    <w:rsid w:val="00D958E8"/>
    <w:rsid w:val="00DA33FD"/>
    <w:rsid w:val="00DA56A2"/>
    <w:rsid w:val="00DC7DFA"/>
    <w:rsid w:val="00DD45E9"/>
    <w:rsid w:val="00DD70EF"/>
    <w:rsid w:val="00DE182C"/>
    <w:rsid w:val="00E51E01"/>
    <w:rsid w:val="00E6268C"/>
    <w:rsid w:val="00EA165C"/>
    <w:rsid w:val="00ED28CE"/>
    <w:rsid w:val="00ED2D54"/>
    <w:rsid w:val="00F30637"/>
    <w:rsid w:val="00FD0C46"/>
    <w:rsid w:val="00FF46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c8e8e,#f9eed8,#dbe4e7,#e3eaea,#e3edef"/>
    </o:shapedefaults>
    <o:shapelayout v:ext="edit">
      <o:idmap v:ext="edit" data="1"/>
    </o:shapelayout>
  </w:shapeDefaults>
  <w:doNotEmbedSmartTags/>
  <w:decimalSymbol w:val="."/>
  <w:listSeparator w:val=","/>
  <w14:docId w14:val="4357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593FAD"/>
    <w:pPr>
      <w:spacing w:after="120" w:line="280" w:lineRule="exact"/>
      <w:outlineLvl w:val="2"/>
    </w:pPr>
    <w:rPr>
      <w:color w:val="auto"/>
      <w:kern w:val="0"/>
      <w:sz w:val="24"/>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593FAD"/>
    <w:rPr>
      <w:rFonts w:ascii="Times New Roman Bold" w:hAnsi="Times New Roman Bold"/>
      <w:szCs w:val="26"/>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szCs w:val="24"/>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uiPriority w:val="99"/>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uiPriority w:val="99"/>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 w:val="20"/>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sz w:val="24"/>
      <w:szCs w:val="24"/>
      <w:lang w:val="en-US" w:eastAsia="en-US" w:bidi="ar-SA"/>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99"/>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rPr>
  </w:style>
  <w:style w:type="character" w:customStyle="1" w:styleId="ti">
    <w:name w:val="ti"/>
    <w:basedOn w:val="DefaultParagraphFont"/>
    <w:rsid w:val="000C311C"/>
  </w:style>
  <w:style w:type="character" w:styleId="EndnoteReference">
    <w:name w:val="endnote reference"/>
    <w:basedOn w:val="DefaultParagraphFont"/>
    <w:uiPriority w:val="99"/>
    <w:rsid w:val="000819DF"/>
  </w:style>
  <w:style w:type="paragraph" w:customStyle="1" w:styleId="bullets">
    <w:name w:val="bullets"/>
    <w:basedOn w:val="BasicParagraph"/>
    <w:qFormat/>
    <w:rsid w:val="00701B60"/>
    <w:pPr>
      <w:numPr>
        <w:numId w:val="7"/>
      </w:numPr>
      <w:spacing w:after="120"/>
      <w:ind w:left="630" w:hanging="270"/>
    </w:pPr>
  </w:style>
  <w:style w:type="character" w:customStyle="1" w:styleId="MessageHeaderLabel">
    <w:name w:val="Message Header Label"/>
    <w:rsid w:val="005159B6"/>
    <w:rPr>
      <w:b/>
      <w:sz w:val="18"/>
    </w:rPr>
  </w:style>
  <w:style w:type="character" w:customStyle="1" w:styleId="Normal1">
    <w:name w:val="Normal1"/>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E13C8D"/>
    <w:pPr>
      <w:numPr>
        <w:numId w:val="0"/>
      </w:numPr>
      <w:spacing w:after="0"/>
      <w:ind w:left="144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customStyle="1" w:styleId="ColorfulList-Accent11">
    <w:name w:val="Colorful List - Accent 11"/>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AA606E"/>
    <w:pPr>
      <w:ind w:left="1080" w:hanging="360"/>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3950F0"/>
    <w:pPr>
      <w:numPr>
        <w:ilvl w:val="2"/>
        <w:numId w:val="13"/>
      </w:numPr>
      <w:spacing w:line="240" w:lineRule="auto"/>
    </w:pPr>
  </w:style>
  <w:style w:type="paragraph" w:customStyle="1" w:styleId="bulletsABC">
    <w:name w:val="bullets ABC"/>
    <w:basedOn w:val="bullets-abc"/>
    <w:next w:val="BasicParagraph"/>
    <w:qFormat/>
    <w:rsid w:val="00D565FE"/>
    <w:pPr>
      <w:widowControl/>
      <w:autoSpaceDE/>
      <w:autoSpaceDN/>
      <w:adjustRightInd/>
      <w:ind w:left="1800" w:hanging="450"/>
      <w:textAlignment w:val="auto"/>
    </w:pPr>
    <w:rPr>
      <w:rFonts w:cs="Times New Roman"/>
      <w:color w:val="auto"/>
      <w:lang w:bidi="ar-SA"/>
    </w:r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rsid w:val="003950F0"/>
  </w:style>
  <w:style w:type="paragraph" w:customStyle="1" w:styleId="bullets1">
    <w:name w:val="bullets (1)"/>
    <w:basedOn w:val="bullets-abc"/>
    <w:qFormat/>
    <w:rsid w:val="000E398C"/>
    <w:pPr>
      <w:spacing w:after="240"/>
      <w:ind w:left="1350"/>
    </w:pPr>
  </w:style>
  <w:style w:type="character" w:styleId="FollowedHyperlink">
    <w:name w:val="FollowedHyperlink"/>
    <w:basedOn w:val="DefaultParagraphFont"/>
    <w:uiPriority w:val="99"/>
    <w:rsid w:val="00CC5240"/>
    <w:rPr>
      <w:color w:val="800080"/>
      <w:u w:val="single"/>
    </w:rPr>
  </w:style>
  <w:style w:type="paragraph" w:customStyle="1" w:styleId="--bullets">
    <w:name w:val="(--) bullets"/>
    <w:basedOn w:val="bulletsABC"/>
    <w:qFormat/>
    <w:rsid w:val="00085E78"/>
    <w:pPr>
      <w:ind w:left="450"/>
    </w:pPr>
  </w:style>
  <w:style w:type="table" w:styleId="TableGrid">
    <w:name w:val="Table Grid"/>
    <w:basedOn w:val="TableNormal"/>
    <w:uiPriority w:val="39"/>
    <w:rsid w:val="0052652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26524"/>
  </w:style>
  <w:style w:type="character" w:styleId="CommentReference">
    <w:name w:val="annotation reference"/>
    <w:uiPriority w:val="99"/>
    <w:unhideWhenUsed/>
    <w:rsid w:val="00526524"/>
    <w:rPr>
      <w:sz w:val="16"/>
      <w:szCs w:val="16"/>
    </w:rPr>
  </w:style>
  <w:style w:type="paragraph" w:styleId="CommentSubject">
    <w:name w:val="annotation subject"/>
    <w:basedOn w:val="CommentText"/>
    <w:next w:val="CommentText"/>
    <w:link w:val="CommentSubjectChar"/>
    <w:uiPriority w:val="99"/>
    <w:unhideWhenUsed/>
    <w:rsid w:val="00526524"/>
    <w:pPr>
      <w:spacing w:after="200" w:line="276" w:lineRule="auto"/>
    </w:pPr>
    <w:rPr>
      <w:rFonts w:ascii="Calibri" w:eastAsia="Calibri" w:hAnsi="Calibri"/>
      <w:b/>
      <w:bCs/>
    </w:rPr>
  </w:style>
  <w:style w:type="character" w:customStyle="1" w:styleId="CommentSubjectChar">
    <w:name w:val="Comment Subject Char"/>
    <w:basedOn w:val="CommentTextChar1"/>
    <w:link w:val="CommentSubject"/>
    <w:uiPriority w:val="99"/>
    <w:rsid w:val="00526524"/>
    <w:rPr>
      <w:rFonts w:ascii="Calibri" w:eastAsia="Calibri" w:hAnsi="Calibri"/>
      <w:b/>
      <w:bCs/>
      <w:sz w:val="20"/>
      <w:szCs w:val="20"/>
    </w:rPr>
  </w:style>
  <w:style w:type="paragraph" w:customStyle="1" w:styleId="Pa14">
    <w:name w:val="Pa14"/>
    <w:basedOn w:val="Normal"/>
    <w:next w:val="Normal"/>
    <w:uiPriority w:val="99"/>
    <w:rsid w:val="00CE2146"/>
    <w:pPr>
      <w:autoSpaceDE w:val="0"/>
      <w:autoSpaceDN w:val="0"/>
      <w:adjustRightInd w:val="0"/>
      <w:spacing w:line="211" w:lineRule="atLeast"/>
    </w:pPr>
    <w:rPr>
      <w:rFonts w:ascii="Adobe Caslon Pro" w:eastAsia="Calibri" w:hAnsi="Adobe Caslon Pro" w:cs="Adobe Caslon Pro"/>
    </w:rPr>
  </w:style>
  <w:style w:type="paragraph" w:customStyle="1" w:styleId="Quote1">
    <w:name w:val="Quote1"/>
    <w:basedOn w:val="Normal"/>
    <w:uiPriority w:val="99"/>
    <w:rsid w:val="00CE2146"/>
    <w:pPr>
      <w:spacing w:before="100" w:beforeAutospacing="1" w:after="100" w:afterAutospacing="1" w:line="240" w:lineRule="auto"/>
    </w:pPr>
  </w:style>
  <w:style w:type="paragraph" w:customStyle="1" w:styleId="Center">
    <w:name w:val="Center"/>
    <w:basedOn w:val="Normal"/>
    <w:uiPriority w:val="99"/>
    <w:rsid w:val="00CE2146"/>
    <w:pPr>
      <w:widowControl w:val="0"/>
      <w:tabs>
        <w:tab w:val="left" w:pos="360"/>
        <w:tab w:val="left" w:pos="720"/>
        <w:tab w:val="left" w:pos="1080"/>
        <w:tab w:val="left" w:pos="1440"/>
        <w:tab w:val="left" w:pos="1800"/>
        <w:tab w:val="left" w:pos="2160"/>
      </w:tabs>
      <w:autoSpaceDE w:val="0"/>
      <w:autoSpaceDN w:val="0"/>
      <w:adjustRightInd w:val="0"/>
      <w:spacing w:line="240" w:lineRule="auto"/>
      <w:jc w:val="center"/>
    </w:pPr>
    <w:rPr>
      <w:rFonts w:ascii="Calibri" w:eastAsia="Calibri" w:hAnsi="Calibri"/>
    </w:rPr>
  </w:style>
  <w:style w:type="paragraph" w:customStyle="1" w:styleId="ColorfulShading-Accent11">
    <w:name w:val="Colorful Shading - Accent 11"/>
    <w:hidden/>
    <w:uiPriority w:val="71"/>
    <w:rsid w:val="00CE2146"/>
    <w:rPr>
      <w:rFonts w:ascii="Calibri" w:eastAsia="Calibri" w:hAnsi="Calibri" w:cs="Calibri"/>
      <w:sz w:val="22"/>
      <w:szCs w:val="22"/>
    </w:rPr>
  </w:style>
  <w:style w:type="paragraph" w:customStyle="1" w:styleId="LightShading-Accent21">
    <w:name w:val="Light Shading - Accent 21"/>
    <w:basedOn w:val="Normal"/>
    <w:next w:val="Normal"/>
    <w:link w:val="LightShading-Accent2Char"/>
    <w:uiPriority w:val="60"/>
    <w:qFormat/>
    <w:rsid w:val="00CE2146"/>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LightShading-Accent2Char">
    <w:name w:val="Light Shading - Accent 2 Char"/>
    <w:link w:val="LightShading-Accent21"/>
    <w:uiPriority w:val="60"/>
    <w:rsid w:val="00CE2146"/>
    <w:rPr>
      <w:rFonts w:ascii="Calibri" w:eastAsia="Calibri" w:hAnsi="Calibri"/>
      <w:b/>
      <w:bCs/>
      <w:i/>
      <w:iCs/>
      <w:color w:val="4F81BD"/>
      <w:sz w:val="22"/>
      <w:szCs w:val="22"/>
    </w:rPr>
  </w:style>
  <w:style w:type="paragraph" w:customStyle="1" w:styleId="ColorfulShading-Accent12">
    <w:name w:val="Colorful Shading - Accent 12"/>
    <w:hidden/>
    <w:uiPriority w:val="99"/>
    <w:rsid w:val="00CE2146"/>
    <w:rPr>
      <w:rFonts w:ascii="Calibri" w:eastAsia="Calibri" w:hAnsi="Calibri" w:cs="Calibri"/>
      <w:sz w:val="22"/>
      <w:szCs w:val="22"/>
    </w:rPr>
  </w:style>
  <w:style w:type="character" w:customStyle="1" w:styleId="NormalTextChar">
    <w:name w:val="Normal Text Char"/>
    <w:link w:val="NormalText"/>
    <w:rsid w:val="00B64766"/>
    <w:rPr>
      <w:szCs w:val="20"/>
    </w:rPr>
  </w:style>
  <w:style w:type="paragraph" w:customStyle="1" w:styleId="HeaderFooter">
    <w:name w:val="Header &amp; Footer"/>
    <w:rsid w:val="00D37048"/>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customStyle="1" w:styleId="Body">
    <w:name w:val="Body"/>
    <w:rsid w:val="00D3704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ListParagraph">
    <w:name w:val="List Paragraph"/>
    <w:rsid w:val="00D37048"/>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rPr>
  </w:style>
  <w:style w:type="numbering" w:customStyle="1" w:styleId="List0">
    <w:name w:val="List 0"/>
    <w:basedOn w:val="ImportedStyle1"/>
    <w:rsid w:val="00D37048"/>
    <w:pPr>
      <w:numPr>
        <w:numId w:val="23"/>
      </w:numPr>
    </w:pPr>
  </w:style>
  <w:style w:type="numbering" w:customStyle="1" w:styleId="ImportedStyle1">
    <w:name w:val="Imported Style 1"/>
    <w:rsid w:val="00D37048"/>
  </w:style>
  <w:style w:type="numbering" w:customStyle="1" w:styleId="List1">
    <w:name w:val="List 1"/>
    <w:basedOn w:val="ImportedStyle2"/>
    <w:rsid w:val="00D37048"/>
    <w:pPr>
      <w:numPr>
        <w:numId w:val="25"/>
      </w:numPr>
    </w:pPr>
  </w:style>
  <w:style w:type="numbering" w:customStyle="1" w:styleId="ImportedStyle2">
    <w:name w:val="Imported Style 2"/>
    <w:rsid w:val="00D37048"/>
  </w:style>
  <w:style w:type="numbering" w:customStyle="1" w:styleId="List21">
    <w:name w:val="List 21"/>
    <w:basedOn w:val="ImportedStyle2"/>
    <w:rsid w:val="00D37048"/>
    <w:pPr>
      <w:numPr>
        <w:numId w:val="24"/>
      </w:numPr>
    </w:pPr>
  </w:style>
  <w:style w:type="numbering" w:customStyle="1" w:styleId="List31">
    <w:name w:val="List 31"/>
    <w:basedOn w:val="ImportedStyle3"/>
    <w:rsid w:val="00D37048"/>
    <w:pPr>
      <w:numPr>
        <w:numId w:val="27"/>
      </w:numPr>
    </w:pPr>
  </w:style>
  <w:style w:type="numbering" w:customStyle="1" w:styleId="ImportedStyle3">
    <w:name w:val="Imported Style 3"/>
    <w:rsid w:val="00D37048"/>
  </w:style>
  <w:style w:type="numbering" w:customStyle="1" w:styleId="List41">
    <w:name w:val="List 41"/>
    <w:basedOn w:val="ImportedStyle3"/>
    <w:rsid w:val="00D37048"/>
    <w:pPr>
      <w:numPr>
        <w:numId w:val="28"/>
      </w:numPr>
    </w:pPr>
  </w:style>
  <w:style w:type="numbering" w:customStyle="1" w:styleId="List51">
    <w:name w:val="List 51"/>
    <w:basedOn w:val="ImportedStyle1"/>
    <w:rsid w:val="00D37048"/>
    <w:pPr>
      <w:numPr>
        <w:numId w:val="26"/>
      </w:numPr>
    </w:pPr>
  </w:style>
  <w:style w:type="numbering" w:customStyle="1" w:styleId="List6">
    <w:name w:val="List 6"/>
    <w:basedOn w:val="ImportedStyle4"/>
    <w:rsid w:val="00D37048"/>
    <w:pPr>
      <w:numPr>
        <w:numId w:val="29"/>
      </w:numPr>
    </w:pPr>
  </w:style>
  <w:style w:type="numbering" w:customStyle="1" w:styleId="ImportedStyle4">
    <w:name w:val="Imported Style 4"/>
    <w:rsid w:val="00D37048"/>
  </w:style>
  <w:style w:type="numbering" w:customStyle="1" w:styleId="List7">
    <w:name w:val="List 7"/>
    <w:basedOn w:val="ImportedStyle4"/>
    <w:rsid w:val="00D37048"/>
    <w:pPr>
      <w:numPr>
        <w:numId w:val="30"/>
      </w:numPr>
    </w:pPr>
  </w:style>
  <w:style w:type="numbering" w:customStyle="1" w:styleId="List8">
    <w:name w:val="List 8"/>
    <w:basedOn w:val="ImportedStyle5"/>
    <w:rsid w:val="00D37048"/>
    <w:pPr>
      <w:numPr>
        <w:numId w:val="31"/>
      </w:numPr>
    </w:pPr>
  </w:style>
  <w:style w:type="numbering" w:customStyle="1" w:styleId="ImportedStyle5">
    <w:name w:val="Imported Style 5"/>
    <w:rsid w:val="00D37048"/>
  </w:style>
  <w:style w:type="character" w:styleId="Emphasis">
    <w:name w:val="Emphasis"/>
    <w:basedOn w:val="DefaultParagraphFont"/>
    <w:uiPriority w:val="20"/>
    <w:qFormat/>
    <w:rsid w:val="00D37048"/>
    <w:rPr>
      <w:i/>
      <w:iCs/>
    </w:rPr>
  </w:style>
  <w:style w:type="paragraph" w:styleId="Revision">
    <w:name w:val="Revision"/>
    <w:hidden/>
    <w:uiPriority w:val="99"/>
    <w:rsid w:val="00D37048"/>
    <w:rPr>
      <w:rFonts w:eastAsia="Arial Unicode MS"/>
      <w:bdr w:val="nil"/>
    </w:rPr>
  </w:style>
  <w:style w:type="table" w:customStyle="1" w:styleId="LightShading1">
    <w:name w:val="Light Shading1"/>
    <w:basedOn w:val="TableNormal"/>
    <w:uiPriority w:val="60"/>
    <w:rsid w:val="00D37048"/>
    <w:pPr>
      <w:pBdr>
        <w:top w:val="nil"/>
        <w:left w:val="nil"/>
        <w:bottom w:val="nil"/>
        <w:right w:val="nil"/>
        <w:between w:val="nil"/>
        <w:bar w:val="nil"/>
      </w:pBdr>
    </w:pPr>
    <w:rPr>
      <w:rFonts w:eastAsia="Arial Unicode MS"/>
      <w:color w:val="000000" w:themeColor="text1" w:themeShade="BF"/>
      <w:bdr w:val="n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37048"/>
    <w:pPr>
      <w:pBdr>
        <w:top w:val="nil"/>
        <w:left w:val="nil"/>
        <w:bottom w:val="nil"/>
        <w:right w:val="nil"/>
        <w:between w:val="nil"/>
        <w:bar w:val="nil"/>
      </w:pBdr>
    </w:pPr>
    <w:rPr>
      <w:rFonts w:eastAsia="Arial Unicode MS"/>
      <w:bdr w:val="ni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D37048"/>
    <w:pPr>
      <w:pBdr>
        <w:top w:val="nil"/>
        <w:left w:val="nil"/>
        <w:bottom w:val="nil"/>
        <w:right w:val="nil"/>
        <w:between w:val="nil"/>
        <w:bar w:val="nil"/>
      </w:pBdr>
    </w:pPr>
    <w:rPr>
      <w:rFonts w:eastAsia="Arial Unicode MS"/>
      <w:color w:val="E36C0A" w:themeColor="accent6" w:themeShade="BF"/>
      <w:bdr w:val="ni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593FAD"/>
    <w:pPr>
      <w:spacing w:after="120" w:line="280" w:lineRule="exact"/>
      <w:outlineLvl w:val="2"/>
    </w:pPr>
    <w:rPr>
      <w:color w:val="auto"/>
      <w:kern w:val="0"/>
      <w:sz w:val="24"/>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593FAD"/>
    <w:rPr>
      <w:rFonts w:ascii="Times New Roman Bold" w:hAnsi="Times New Roman Bold"/>
      <w:szCs w:val="26"/>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szCs w:val="24"/>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uiPriority w:val="99"/>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uiPriority w:val="99"/>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 w:val="20"/>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sz w:val="24"/>
      <w:szCs w:val="24"/>
      <w:lang w:val="en-US" w:eastAsia="en-US" w:bidi="ar-SA"/>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99"/>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rPr>
  </w:style>
  <w:style w:type="character" w:customStyle="1" w:styleId="ti">
    <w:name w:val="ti"/>
    <w:basedOn w:val="DefaultParagraphFont"/>
    <w:rsid w:val="000C311C"/>
  </w:style>
  <w:style w:type="character" w:styleId="EndnoteReference">
    <w:name w:val="endnote reference"/>
    <w:basedOn w:val="DefaultParagraphFont"/>
    <w:uiPriority w:val="99"/>
    <w:rsid w:val="000819DF"/>
  </w:style>
  <w:style w:type="paragraph" w:customStyle="1" w:styleId="bullets">
    <w:name w:val="bullets"/>
    <w:basedOn w:val="BasicParagraph"/>
    <w:qFormat/>
    <w:rsid w:val="00701B60"/>
    <w:pPr>
      <w:numPr>
        <w:numId w:val="7"/>
      </w:numPr>
      <w:spacing w:after="120"/>
      <w:ind w:left="630" w:hanging="270"/>
    </w:pPr>
  </w:style>
  <w:style w:type="character" w:customStyle="1" w:styleId="MessageHeaderLabel">
    <w:name w:val="Message Header Label"/>
    <w:rsid w:val="005159B6"/>
    <w:rPr>
      <w:b/>
      <w:sz w:val="18"/>
    </w:rPr>
  </w:style>
  <w:style w:type="character" w:customStyle="1" w:styleId="Normal1">
    <w:name w:val="Normal1"/>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E13C8D"/>
    <w:pPr>
      <w:numPr>
        <w:numId w:val="0"/>
      </w:numPr>
      <w:spacing w:after="0"/>
      <w:ind w:left="144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customStyle="1" w:styleId="ColorfulList-Accent11">
    <w:name w:val="Colorful List - Accent 11"/>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AA606E"/>
    <w:pPr>
      <w:ind w:left="1080" w:hanging="360"/>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3950F0"/>
    <w:pPr>
      <w:numPr>
        <w:ilvl w:val="2"/>
        <w:numId w:val="13"/>
      </w:numPr>
      <w:spacing w:line="240" w:lineRule="auto"/>
    </w:pPr>
  </w:style>
  <w:style w:type="paragraph" w:customStyle="1" w:styleId="bulletsABC">
    <w:name w:val="bullets ABC"/>
    <w:basedOn w:val="bullets-abc"/>
    <w:next w:val="BasicParagraph"/>
    <w:qFormat/>
    <w:rsid w:val="00D565FE"/>
    <w:pPr>
      <w:widowControl/>
      <w:autoSpaceDE/>
      <w:autoSpaceDN/>
      <w:adjustRightInd/>
      <w:ind w:left="1800" w:hanging="450"/>
      <w:textAlignment w:val="auto"/>
    </w:pPr>
    <w:rPr>
      <w:rFonts w:cs="Times New Roman"/>
      <w:color w:val="auto"/>
      <w:lang w:bidi="ar-SA"/>
    </w:r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rsid w:val="003950F0"/>
  </w:style>
  <w:style w:type="paragraph" w:customStyle="1" w:styleId="bullets1">
    <w:name w:val="bullets (1)"/>
    <w:basedOn w:val="bullets-abc"/>
    <w:qFormat/>
    <w:rsid w:val="000E398C"/>
    <w:pPr>
      <w:spacing w:after="240"/>
      <w:ind w:left="1350"/>
    </w:pPr>
  </w:style>
  <w:style w:type="character" w:styleId="FollowedHyperlink">
    <w:name w:val="FollowedHyperlink"/>
    <w:basedOn w:val="DefaultParagraphFont"/>
    <w:uiPriority w:val="99"/>
    <w:rsid w:val="00CC5240"/>
    <w:rPr>
      <w:color w:val="800080"/>
      <w:u w:val="single"/>
    </w:rPr>
  </w:style>
  <w:style w:type="paragraph" w:customStyle="1" w:styleId="--bullets">
    <w:name w:val="(--) bullets"/>
    <w:basedOn w:val="bulletsABC"/>
    <w:qFormat/>
    <w:rsid w:val="00085E78"/>
    <w:pPr>
      <w:ind w:left="450"/>
    </w:pPr>
  </w:style>
  <w:style w:type="table" w:styleId="TableGrid">
    <w:name w:val="Table Grid"/>
    <w:basedOn w:val="TableNormal"/>
    <w:uiPriority w:val="39"/>
    <w:rsid w:val="0052652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26524"/>
  </w:style>
  <w:style w:type="character" w:styleId="CommentReference">
    <w:name w:val="annotation reference"/>
    <w:uiPriority w:val="99"/>
    <w:unhideWhenUsed/>
    <w:rsid w:val="00526524"/>
    <w:rPr>
      <w:sz w:val="16"/>
      <w:szCs w:val="16"/>
    </w:rPr>
  </w:style>
  <w:style w:type="paragraph" w:styleId="CommentSubject">
    <w:name w:val="annotation subject"/>
    <w:basedOn w:val="CommentText"/>
    <w:next w:val="CommentText"/>
    <w:link w:val="CommentSubjectChar"/>
    <w:uiPriority w:val="99"/>
    <w:unhideWhenUsed/>
    <w:rsid w:val="00526524"/>
    <w:pPr>
      <w:spacing w:after="200" w:line="276" w:lineRule="auto"/>
    </w:pPr>
    <w:rPr>
      <w:rFonts w:ascii="Calibri" w:eastAsia="Calibri" w:hAnsi="Calibri"/>
      <w:b/>
      <w:bCs/>
    </w:rPr>
  </w:style>
  <w:style w:type="character" w:customStyle="1" w:styleId="CommentSubjectChar">
    <w:name w:val="Comment Subject Char"/>
    <w:basedOn w:val="CommentTextChar1"/>
    <w:link w:val="CommentSubject"/>
    <w:uiPriority w:val="99"/>
    <w:rsid w:val="00526524"/>
    <w:rPr>
      <w:rFonts w:ascii="Calibri" w:eastAsia="Calibri" w:hAnsi="Calibri"/>
      <w:b/>
      <w:bCs/>
      <w:sz w:val="20"/>
      <w:szCs w:val="20"/>
    </w:rPr>
  </w:style>
  <w:style w:type="paragraph" w:customStyle="1" w:styleId="Pa14">
    <w:name w:val="Pa14"/>
    <w:basedOn w:val="Normal"/>
    <w:next w:val="Normal"/>
    <w:uiPriority w:val="99"/>
    <w:rsid w:val="00CE2146"/>
    <w:pPr>
      <w:autoSpaceDE w:val="0"/>
      <w:autoSpaceDN w:val="0"/>
      <w:adjustRightInd w:val="0"/>
      <w:spacing w:line="211" w:lineRule="atLeast"/>
    </w:pPr>
    <w:rPr>
      <w:rFonts w:ascii="Adobe Caslon Pro" w:eastAsia="Calibri" w:hAnsi="Adobe Caslon Pro" w:cs="Adobe Caslon Pro"/>
    </w:rPr>
  </w:style>
  <w:style w:type="paragraph" w:customStyle="1" w:styleId="Quote1">
    <w:name w:val="Quote1"/>
    <w:basedOn w:val="Normal"/>
    <w:uiPriority w:val="99"/>
    <w:rsid w:val="00CE2146"/>
    <w:pPr>
      <w:spacing w:before="100" w:beforeAutospacing="1" w:after="100" w:afterAutospacing="1" w:line="240" w:lineRule="auto"/>
    </w:pPr>
  </w:style>
  <w:style w:type="paragraph" w:customStyle="1" w:styleId="Center">
    <w:name w:val="Center"/>
    <w:basedOn w:val="Normal"/>
    <w:uiPriority w:val="99"/>
    <w:rsid w:val="00CE2146"/>
    <w:pPr>
      <w:widowControl w:val="0"/>
      <w:tabs>
        <w:tab w:val="left" w:pos="360"/>
        <w:tab w:val="left" w:pos="720"/>
        <w:tab w:val="left" w:pos="1080"/>
        <w:tab w:val="left" w:pos="1440"/>
        <w:tab w:val="left" w:pos="1800"/>
        <w:tab w:val="left" w:pos="2160"/>
      </w:tabs>
      <w:autoSpaceDE w:val="0"/>
      <w:autoSpaceDN w:val="0"/>
      <w:adjustRightInd w:val="0"/>
      <w:spacing w:line="240" w:lineRule="auto"/>
      <w:jc w:val="center"/>
    </w:pPr>
    <w:rPr>
      <w:rFonts w:ascii="Calibri" w:eastAsia="Calibri" w:hAnsi="Calibri"/>
    </w:rPr>
  </w:style>
  <w:style w:type="paragraph" w:customStyle="1" w:styleId="ColorfulShading-Accent11">
    <w:name w:val="Colorful Shading - Accent 11"/>
    <w:hidden/>
    <w:uiPriority w:val="71"/>
    <w:rsid w:val="00CE2146"/>
    <w:rPr>
      <w:rFonts w:ascii="Calibri" w:eastAsia="Calibri" w:hAnsi="Calibri" w:cs="Calibri"/>
      <w:sz w:val="22"/>
      <w:szCs w:val="22"/>
    </w:rPr>
  </w:style>
  <w:style w:type="paragraph" w:customStyle="1" w:styleId="LightShading-Accent21">
    <w:name w:val="Light Shading - Accent 21"/>
    <w:basedOn w:val="Normal"/>
    <w:next w:val="Normal"/>
    <w:link w:val="LightShading-Accent2Char"/>
    <w:uiPriority w:val="60"/>
    <w:qFormat/>
    <w:rsid w:val="00CE2146"/>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LightShading-Accent2Char">
    <w:name w:val="Light Shading - Accent 2 Char"/>
    <w:link w:val="LightShading-Accent21"/>
    <w:uiPriority w:val="60"/>
    <w:rsid w:val="00CE2146"/>
    <w:rPr>
      <w:rFonts w:ascii="Calibri" w:eastAsia="Calibri" w:hAnsi="Calibri"/>
      <w:b/>
      <w:bCs/>
      <w:i/>
      <w:iCs/>
      <w:color w:val="4F81BD"/>
      <w:sz w:val="22"/>
      <w:szCs w:val="22"/>
    </w:rPr>
  </w:style>
  <w:style w:type="paragraph" w:customStyle="1" w:styleId="ColorfulShading-Accent12">
    <w:name w:val="Colorful Shading - Accent 12"/>
    <w:hidden/>
    <w:uiPriority w:val="99"/>
    <w:rsid w:val="00CE2146"/>
    <w:rPr>
      <w:rFonts w:ascii="Calibri" w:eastAsia="Calibri" w:hAnsi="Calibri" w:cs="Calibri"/>
      <w:sz w:val="22"/>
      <w:szCs w:val="22"/>
    </w:rPr>
  </w:style>
  <w:style w:type="character" w:customStyle="1" w:styleId="NormalTextChar">
    <w:name w:val="Normal Text Char"/>
    <w:link w:val="NormalText"/>
    <w:rsid w:val="00B64766"/>
    <w:rPr>
      <w:szCs w:val="20"/>
    </w:rPr>
  </w:style>
  <w:style w:type="paragraph" w:customStyle="1" w:styleId="HeaderFooter">
    <w:name w:val="Header &amp; Footer"/>
    <w:rsid w:val="00D37048"/>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customStyle="1" w:styleId="Body">
    <w:name w:val="Body"/>
    <w:rsid w:val="00D3704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ListParagraph">
    <w:name w:val="List Paragraph"/>
    <w:rsid w:val="00D37048"/>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rPr>
  </w:style>
  <w:style w:type="numbering" w:customStyle="1" w:styleId="List0">
    <w:name w:val="List 0"/>
    <w:basedOn w:val="ImportedStyle1"/>
    <w:rsid w:val="00D37048"/>
    <w:pPr>
      <w:numPr>
        <w:numId w:val="23"/>
      </w:numPr>
    </w:pPr>
  </w:style>
  <w:style w:type="numbering" w:customStyle="1" w:styleId="ImportedStyle1">
    <w:name w:val="Imported Style 1"/>
    <w:rsid w:val="00D37048"/>
  </w:style>
  <w:style w:type="numbering" w:customStyle="1" w:styleId="List1">
    <w:name w:val="List 1"/>
    <w:basedOn w:val="ImportedStyle2"/>
    <w:rsid w:val="00D37048"/>
    <w:pPr>
      <w:numPr>
        <w:numId w:val="25"/>
      </w:numPr>
    </w:pPr>
  </w:style>
  <w:style w:type="numbering" w:customStyle="1" w:styleId="ImportedStyle2">
    <w:name w:val="Imported Style 2"/>
    <w:rsid w:val="00D37048"/>
  </w:style>
  <w:style w:type="numbering" w:customStyle="1" w:styleId="List21">
    <w:name w:val="List 21"/>
    <w:basedOn w:val="ImportedStyle2"/>
    <w:rsid w:val="00D37048"/>
    <w:pPr>
      <w:numPr>
        <w:numId w:val="24"/>
      </w:numPr>
    </w:pPr>
  </w:style>
  <w:style w:type="numbering" w:customStyle="1" w:styleId="List31">
    <w:name w:val="List 31"/>
    <w:basedOn w:val="ImportedStyle3"/>
    <w:rsid w:val="00D37048"/>
    <w:pPr>
      <w:numPr>
        <w:numId w:val="27"/>
      </w:numPr>
    </w:pPr>
  </w:style>
  <w:style w:type="numbering" w:customStyle="1" w:styleId="ImportedStyle3">
    <w:name w:val="Imported Style 3"/>
    <w:rsid w:val="00D37048"/>
  </w:style>
  <w:style w:type="numbering" w:customStyle="1" w:styleId="List41">
    <w:name w:val="List 41"/>
    <w:basedOn w:val="ImportedStyle3"/>
    <w:rsid w:val="00D37048"/>
    <w:pPr>
      <w:numPr>
        <w:numId w:val="28"/>
      </w:numPr>
    </w:pPr>
  </w:style>
  <w:style w:type="numbering" w:customStyle="1" w:styleId="List51">
    <w:name w:val="List 51"/>
    <w:basedOn w:val="ImportedStyle1"/>
    <w:rsid w:val="00D37048"/>
    <w:pPr>
      <w:numPr>
        <w:numId w:val="26"/>
      </w:numPr>
    </w:pPr>
  </w:style>
  <w:style w:type="numbering" w:customStyle="1" w:styleId="List6">
    <w:name w:val="List 6"/>
    <w:basedOn w:val="ImportedStyle4"/>
    <w:rsid w:val="00D37048"/>
    <w:pPr>
      <w:numPr>
        <w:numId w:val="29"/>
      </w:numPr>
    </w:pPr>
  </w:style>
  <w:style w:type="numbering" w:customStyle="1" w:styleId="ImportedStyle4">
    <w:name w:val="Imported Style 4"/>
    <w:rsid w:val="00D37048"/>
  </w:style>
  <w:style w:type="numbering" w:customStyle="1" w:styleId="List7">
    <w:name w:val="List 7"/>
    <w:basedOn w:val="ImportedStyle4"/>
    <w:rsid w:val="00D37048"/>
    <w:pPr>
      <w:numPr>
        <w:numId w:val="30"/>
      </w:numPr>
    </w:pPr>
  </w:style>
  <w:style w:type="numbering" w:customStyle="1" w:styleId="List8">
    <w:name w:val="List 8"/>
    <w:basedOn w:val="ImportedStyle5"/>
    <w:rsid w:val="00D37048"/>
    <w:pPr>
      <w:numPr>
        <w:numId w:val="31"/>
      </w:numPr>
    </w:pPr>
  </w:style>
  <w:style w:type="numbering" w:customStyle="1" w:styleId="ImportedStyle5">
    <w:name w:val="Imported Style 5"/>
    <w:rsid w:val="00D37048"/>
  </w:style>
  <w:style w:type="character" w:styleId="Emphasis">
    <w:name w:val="Emphasis"/>
    <w:basedOn w:val="DefaultParagraphFont"/>
    <w:uiPriority w:val="20"/>
    <w:qFormat/>
    <w:rsid w:val="00D37048"/>
    <w:rPr>
      <w:i/>
      <w:iCs/>
    </w:rPr>
  </w:style>
  <w:style w:type="paragraph" w:styleId="Revision">
    <w:name w:val="Revision"/>
    <w:hidden/>
    <w:uiPriority w:val="99"/>
    <w:rsid w:val="00D37048"/>
    <w:rPr>
      <w:rFonts w:eastAsia="Arial Unicode MS"/>
      <w:bdr w:val="nil"/>
    </w:rPr>
  </w:style>
  <w:style w:type="table" w:customStyle="1" w:styleId="LightShading1">
    <w:name w:val="Light Shading1"/>
    <w:basedOn w:val="TableNormal"/>
    <w:uiPriority w:val="60"/>
    <w:rsid w:val="00D37048"/>
    <w:pPr>
      <w:pBdr>
        <w:top w:val="nil"/>
        <w:left w:val="nil"/>
        <w:bottom w:val="nil"/>
        <w:right w:val="nil"/>
        <w:between w:val="nil"/>
        <w:bar w:val="nil"/>
      </w:pBdr>
    </w:pPr>
    <w:rPr>
      <w:rFonts w:eastAsia="Arial Unicode MS"/>
      <w:color w:val="000000" w:themeColor="text1" w:themeShade="BF"/>
      <w:bdr w:val="n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37048"/>
    <w:pPr>
      <w:pBdr>
        <w:top w:val="nil"/>
        <w:left w:val="nil"/>
        <w:bottom w:val="nil"/>
        <w:right w:val="nil"/>
        <w:between w:val="nil"/>
        <w:bar w:val="nil"/>
      </w:pBdr>
    </w:pPr>
    <w:rPr>
      <w:rFonts w:eastAsia="Arial Unicode MS"/>
      <w:bdr w:val="ni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D37048"/>
    <w:pPr>
      <w:pBdr>
        <w:top w:val="nil"/>
        <w:left w:val="nil"/>
        <w:bottom w:val="nil"/>
        <w:right w:val="nil"/>
        <w:between w:val="nil"/>
        <w:bar w:val="nil"/>
      </w:pBdr>
    </w:pPr>
    <w:rPr>
      <w:rFonts w:eastAsia="Arial Unicode MS"/>
      <w:color w:val="E36C0A" w:themeColor="accent6" w:themeShade="BF"/>
      <w:bdr w:val="ni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7036">
      <w:bodyDiv w:val="1"/>
      <w:marLeft w:val="0"/>
      <w:marRight w:val="0"/>
      <w:marTop w:val="0"/>
      <w:marBottom w:val="0"/>
      <w:divBdr>
        <w:top w:val="none" w:sz="0" w:space="0" w:color="auto"/>
        <w:left w:val="none" w:sz="0" w:space="0" w:color="auto"/>
        <w:bottom w:val="none" w:sz="0" w:space="0" w:color="auto"/>
        <w:right w:val="none" w:sz="0" w:space="0" w:color="auto"/>
      </w:divBdr>
    </w:div>
    <w:div w:id="2061704847">
      <w:bodyDiv w:val="1"/>
      <w:marLeft w:val="0"/>
      <w:marRight w:val="0"/>
      <w:marTop w:val="0"/>
      <w:marBottom w:val="0"/>
      <w:divBdr>
        <w:top w:val="none" w:sz="0" w:space="0" w:color="auto"/>
        <w:left w:val="none" w:sz="0" w:space="0" w:color="auto"/>
        <w:bottom w:val="none" w:sz="0" w:space="0" w:color="auto"/>
        <w:right w:val="none" w:sz="0" w:space="0" w:color="auto"/>
      </w:divBdr>
    </w:div>
    <w:div w:id="2129857271">
      <w:bodyDiv w:val="1"/>
      <w:marLeft w:val="0"/>
      <w:marRight w:val="0"/>
      <w:marTop w:val="0"/>
      <w:marBottom w:val="0"/>
      <w:divBdr>
        <w:top w:val="none" w:sz="0" w:space="0" w:color="auto"/>
        <w:left w:val="none" w:sz="0" w:space="0" w:color="auto"/>
        <w:bottom w:val="none" w:sz="0" w:space="0" w:color="auto"/>
        <w:right w:val="none" w:sz="0" w:space="0" w:color="auto"/>
      </w:divBdr>
      <w:divsChild>
        <w:div w:id="47191584">
          <w:marLeft w:val="0"/>
          <w:marRight w:val="0"/>
          <w:marTop w:val="0"/>
          <w:marBottom w:val="0"/>
          <w:divBdr>
            <w:top w:val="none" w:sz="0" w:space="0" w:color="auto"/>
            <w:left w:val="none" w:sz="0" w:space="0" w:color="auto"/>
            <w:bottom w:val="none" w:sz="0" w:space="0" w:color="auto"/>
            <w:right w:val="none" w:sz="0" w:space="0" w:color="auto"/>
          </w:divBdr>
          <w:divsChild>
            <w:div w:id="442576329">
              <w:marLeft w:val="0"/>
              <w:marRight w:val="0"/>
              <w:marTop w:val="0"/>
              <w:marBottom w:val="0"/>
              <w:divBdr>
                <w:top w:val="none" w:sz="0" w:space="0" w:color="auto"/>
                <w:left w:val="none" w:sz="0" w:space="0" w:color="auto"/>
                <w:bottom w:val="none" w:sz="0" w:space="0" w:color="auto"/>
                <w:right w:val="none" w:sz="0" w:space="0" w:color="auto"/>
              </w:divBdr>
              <w:divsChild>
                <w:div w:id="1912499175">
                  <w:marLeft w:val="0"/>
                  <w:marRight w:val="0"/>
                  <w:marTop w:val="0"/>
                  <w:marBottom w:val="0"/>
                  <w:divBdr>
                    <w:top w:val="none" w:sz="0" w:space="0" w:color="auto"/>
                    <w:left w:val="none" w:sz="0" w:space="0" w:color="auto"/>
                    <w:bottom w:val="none" w:sz="0" w:space="0" w:color="auto"/>
                    <w:right w:val="none" w:sz="0" w:space="0" w:color="auto"/>
                  </w:divBdr>
                  <w:divsChild>
                    <w:div w:id="252322171">
                      <w:marLeft w:val="0"/>
                      <w:marRight w:val="0"/>
                      <w:marTop w:val="0"/>
                      <w:marBottom w:val="0"/>
                      <w:divBdr>
                        <w:top w:val="none" w:sz="0" w:space="0" w:color="auto"/>
                        <w:left w:val="none" w:sz="0" w:space="0" w:color="auto"/>
                        <w:bottom w:val="none" w:sz="0" w:space="0" w:color="auto"/>
                        <w:right w:val="none" w:sz="0" w:space="0" w:color="auto"/>
                      </w:divBdr>
                      <w:divsChild>
                        <w:div w:id="1601572317">
                          <w:marLeft w:val="0"/>
                          <w:marRight w:val="0"/>
                          <w:marTop w:val="0"/>
                          <w:marBottom w:val="0"/>
                          <w:divBdr>
                            <w:top w:val="none" w:sz="0" w:space="0" w:color="auto"/>
                            <w:left w:val="none" w:sz="0" w:space="0" w:color="auto"/>
                            <w:bottom w:val="none" w:sz="0" w:space="0" w:color="auto"/>
                            <w:right w:val="none" w:sz="0" w:space="0" w:color="auto"/>
                          </w:divBdr>
                          <w:divsChild>
                            <w:div w:id="302124468">
                              <w:marLeft w:val="0"/>
                              <w:marRight w:val="0"/>
                              <w:marTop w:val="0"/>
                              <w:marBottom w:val="0"/>
                              <w:divBdr>
                                <w:top w:val="none" w:sz="0" w:space="0" w:color="auto"/>
                                <w:left w:val="none" w:sz="0" w:space="0" w:color="auto"/>
                                <w:bottom w:val="none" w:sz="0" w:space="0" w:color="auto"/>
                                <w:right w:val="none" w:sz="0" w:space="0" w:color="auto"/>
                              </w:divBdr>
                              <w:divsChild>
                                <w:div w:id="20741390">
                                  <w:marLeft w:val="0"/>
                                  <w:marRight w:val="0"/>
                                  <w:marTop w:val="0"/>
                                  <w:marBottom w:val="0"/>
                                  <w:divBdr>
                                    <w:top w:val="none" w:sz="0" w:space="0" w:color="auto"/>
                                    <w:left w:val="none" w:sz="0" w:space="0" w:color="auto"/>
                                    <w:bottom w:val="none" w:sz="0" w:space="0" w:color="auto"/>
                                    <w:right w:val="none" w:sz="0" w:space="0" w:color="auto"/>
                                  </w:divBdr>
                                  <w:divsChild>
                                    <w:div w:id="2055226874">
                                      <w:marLeft w:val="0"/>
                                      <w:marRight w:val="0"/>
                                      <w:marTop w:val="0"/>
                                      <w:marBottom w:val="0"/>
                                      <w:divBdr>
                                        <w:top w:val="none" w:sz="0" w:space="0" w:color="auto"/>
                                        <w:left w:val="none" w:sz="0" w:space="0" w:color="auto"/>
                                        <w:bottom w:val="none" w:sz="0" w:space="0" w:color="auto"/>
                                        <w:right w:val="none" w:sz="0" w:space="0" w:color="auto"/>
                                      </w:divBdr>
                                      <w:divsChild>
                                        <w:div w:id="15152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healthaffairs.org/healthpolicybriefs/brief.php?brief_id=123" TargetMode="External"/><Relationship Id="rId11" Type="http://schemas.openxmlformats.org/officeDocument/2006/relationships/hyperlink" Target="http://www.nhc.org/media/files/Insights_HousingAndHealthBrief.pdf" TargetMode="External"/><Relationship Id="rId12" Type="http://schemas.openxmlformats.org/officeDocument/2006/relationships/hyperlink" Target="http://www.rwjf.org/content/dam/farm/reports/issue_briefs/2011/rwjf70451" TargetMode="External"/><Relationship Id="rId13" Type="http://schemas.openxmlformats.org/officeDocument/2006/relationships/hyperlink" Target="http://www.changelabsolutions.org/publications/housing-and-health" TargetMode="External"/><Relationship Id="rId14" Type="http://schemas.openxmlformats.org/officeDocument/2006/relationships/hyperlink" Target="http://www.nhchc.org/wp-content/uploads/2011/10/Housing-is-Health-Care.pdf" TargetMode="External"/><Relationship Id="rId15" Type="http://schemas.openxmlformats.org/officeDocument/2006/relationships/hyperlink" Target="http://www.enterprisecommunity.com/resources/ResourceDetails?ID=0093581" TargetMode="External"/><Relationship Id="rId16" Type="http://schemas.openxmlformats.org/officeDocument/2006/relationships/hyperlink" Target="http://www.nhc.org/media/documents/FramingIssues_Heath.pdf" TargetMode="External"/><Relationship Id="rId17" Type="http://schemas.openxmlformats.org/officeDocument/2006/relationships/hyperlink" Target="http://www.changelabsolutions.org/healthy-housin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1678C-51AA-2040-B179-7F6D18B8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7760</Words>
  <Characters>44237</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51894</CharactersWithSpaces>
  <SharedDoc>false</SharedDoc>
  <HLinks>
    <vt:vector size="78" baseType="variant">
      <vt:variant>
        <vt:i4>1638427</vt:i4>
      </vt:variant>
      <vt:variant>
        <vt:i4>6</vt:i4>
      </vt:variant>
      <vt:variant>
        <vt:i4>0</vt:i4>
      </vt:variant>
      <vt:variant>
        <vt:i4>5</vt:i4>
      </vt:variant>
      <vt:variant>
        <vt:lpwstr>http://www.changelabsolutions.org/publications/healthy-housing-laws-work</vt:lpwstr>
      </vt:variant>
      <vt:variant>
        <vt:lpwstr/>
      </vt:variant>
      <vt:variant>
        <vt:i4>2424884</vt:i4>
      </vt:variant>
      <vt:variant>
        <vt:i4>3</vt:i4>
      </vt:variant>
      <vt:variant>
        <vt:i4>0</vt:i4>
      </vt:variant>
      <vt:variant>
        <vt:i4>5</vt:i4>
      </vt:variant>
      <vt:variant>
        <vt:lpwstr>http://www.changelabsolutions.org/publications/PRI-programs</vt:lpwstr>
      </vt:variant>
      <vt:variant>
        <vt:lpwstr/>
      </vt:variant>
      <vt:variant>
        <vt:i4>2424941</vt:i4>
      </vt:variant>
      <vt:variant>
        <vt:i4>0</vt:i4>
      </vt:variant>
      <vt:variant>
        <vt:i4>0</vt:i4>
      </vt:variant>
      <vt:variant>
        <vt:i4>5</vt:i4>
      </vt:variant>
      <vt:variant>
        <vt:lpwstr>http://changelabsolutions.org/publications/PRI-programs</vt:lpwstr>
      </vt:variant>
      <vt:variant>
        <vt:lpwstr/>
      </vt:variant>
      <vt:variant>
        <vt:i4>3014701</vt:i4>
      </vt:variant>
      <vt:variant>
        <vt:i4>0</vt:i4>
      </vt:variant>
      <vt:variant>
        <vt:i4>0</vt:i4>
      </vt:variant>
      <vt:variant>
        <vt:i4>5</vt:i4>
      </vt:variant>
      <vt:variant>
        <vt:lpwstr>http://www.changelabsolutions.org/</vt:lpwstr>
      </vt:variant>
      <vt:variant>
        <vt:lpwstr/>
      </vt:variant>
      <vt:variant>
        <vt:i4>7078002</vt:i4>
      </vt:variant>
      <vt:variant>
        <vt:i4>24</vt:i4>
      </vt:variant>
      <vt:variant>
        <vt:i4>0</vt:i4>
      </vt:variant>
      <vt:variant>
        <vt:i4>5</vt:i4>
      </vt:variant>
      <vt:variant>
        <vt:lpwstr>http://portal.cityofsacramento.org/~/media/Files/CDD/Code Compliance/Programs/Rental Housing/RHIPTenantConsent2-7-2012.ashx</vt:lpwstr>
      </vt:variant>
      <vt:variant>
        <vt:lpwstr/>
      </vt:variant>
      <vt:variant>
        <vt:i4>2228274</vt:i4>
      </vt:variant>
      <vt:variant>
        <vt:i4>21</vt:i4>
      </vt:variant>
      <vt:variant>
        <vt:i4>0</vt:i4>
      </vt:variant>
      <vt:variant>
        <vt:i4>5</vt:i4>
      </vt:variant>
      <vt:variant>
        <vt:lpwstr>http://www.rha.org/displaycommon.cfm?an=1&amp;subarticlenbr=213</vt:lpwstr>
      </vt:variant>
      <vt:variant>
        <vt:lpwstr/>
      </vt:variant>
      <vt:variant>
        <vt:i4>6029378</vt:i4>
      </vt:variant>
      <vt:variant>
        <vt:i4>18</vt:i4>
      </vt:variant>
      <vt:variant>
        <vt:i4>0</vt:i4>
      </vt:variant>
      <vt:variant>
        <vt:i4>5</vt:i4>
      </vt:variant>
      <vt:variant>
        <vt:lpwstr>http://www.nchh.org//Portals/0/Contents/Interior_and_Exterior_2009_National.pdf</vt:lpwstr>
      </vt:variant>
      <vt:variant>
        <vt:lpwstr/>
      </vt:variant>
      <vt:variant>
        <vt:i4>7340081</vt:i4>
      </vt:variant>
      <vt:variant>
        <vt:i4>15</vt:i4>
      </vt:variant>
      <vt:variant>
        <vt:i4>0</vt:i4>
      </vt:variant>
      <vt:variant>
        <vt:i4>5</vt:i4>
      </vt:variant>
      <vt:variant>
        <vt:lpwstr>http://grcity.us/community-development/Code-Compliance-Division/Pages/Rental and Vacant Property FAQ's.aspx</vt:lpwstr>
      </vt:variant>
      <vt:variant>
        <vt:lpwstr/>
      </vt:variant>
      <vt:variant>
        <vt:i4>7012412</vt:i4>
      </vt:variant>
      <vt:variant>
        <vt:i4>12</vt:i4>
      </vt:variant>
      <vt:variant>
        <vt:i4>0</vt:i4>
      </vt:variant>
      <vt:variant>
        <vt:i4>5</vt:i4>
      </vt:variant>
      <vt:variant>
        <vt:lpwstr>http://dcra.dc.gov/book/about-proactive-inspections/what-proactive-inspections-program</vt:lpwstr>
      </vt:variant>
      <vt:variant>
        <vt:lpwstr/>
      </vt:variant>
      <vt:variant>
        <vt:i4>8061020</vt:i4>
      </vt:variant>
      <vt:variant>
        <vt:i4>9</vt:i4>
      </vt:variant>
      <vt:variant>
        <vt:i4>0</vt:i4>
      </vt:variant>
      <vt:variant>
        <vt:i4>5</vt:i4>
      </vt:variant>
      <vt:variant>
        <vt:lpwstr>http://sacramento.granicus.com/MetaViewer.php?meta_id=67355&amp;view=&amp;showpdf=1</vt:lpwstr>
      </vt:variant>
      <vt:variant>
        <vt:lpwstr/>
      </vt:variant>
      <vt:variant>
        <vt:i4>5636149</vt:i4>
      </vt:variant>
      <vt:variant>
        <vt:i4>6</vt:i4>
      </vt:variant>
      <vt:variant>
        <vt:i4>0</vt:i4>
      </vt:variant>
      <vt:variant>
        <vt:i4>5</vt:i4>
      </vt:variant>
      <vt:variant>
        <vt:lpwstr>http://198.246.124.22/healthyplaces/articles/the_built_environment_and_children_health.pdf</vt:lpwstr>
      </vt:variant>
      <vt:variant>
        <vt:lpwstr/>
      </vt:variant>
      <vt:variant>
        <vt:i4>6750246</vt:i4>
      </vt:variant>
      <vt:variant>
        <vt:i4>3</vt:i4>
      </vt:variant>
      <vt:variant>
        <vt:i4>0</vt:i4>
      </vt:variant>
      <vt:variant>
        <vt:i4>5</vt:i4>
      </vt:variant>
      <vt:variant>
        <vt:lpwstr>http://dcra.dc.gov/sites/default/files/dc/sites/dcra/publication/attachments/DCRA%2520Proactive%2520Housing%2520Inspections%2520Program%2520%252012_16_09.pdf</vt:lpwstr>
      </vt:variant>
      <vt:variant>
        <vt:lpwstr/>
      </vt:variant>
      <vt:variant>
        <vt:i4>5570642</vt:i4>
      </vt:variant>
      <vt:variant>
        <vt:i4>0</vt:i4>
      </vt:variant>
      <vt:variant>
        <vt:i4>0</vt:i4>
      </vt:variant>
      <vt:variant>
        <vt:i4>5</vt:i4>
      </vt:variant>
      <vt:variant>
        <vt:lpwstr>http://portal.hud.gov/hudportal/HUD?src=/program_offices/healthy_homes/advhh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Williamson</cp:lastModifiedBy>
  <cp:revision>2</cp:revision>
  <cp:lastPrinted>2015-02-27T00:55:00Z</cp:lastPrinted>
  <dcterms:created xsi:type="dcterms:W3CDTF">2015-07-09T23:33:00Z</dcterms:created>
  <dcterms:modified xsi:type="dcterms:W3CDTF">2015-07-09T23:33:00Z</dcterms:modified>
</cp:coreProperties>
</file>